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2B927">
      <w:pPr>
        <w:jc w:val="left"/>
        <w:rPr>
          <w:rFonts w:ascii="宋体" w:hAnsi="宋体" w:cs="宋体"/>
          <w:color w:val="auto"/>
          <w:sz w:val="44"/>
          <w:szCs w:val="44"/>
          <w:highlight w:val="none"/>
        </w:rPr>
      </w:pPr>
    </w:p>
    <w:p w14:paraId="129627A3">
      <w:pPr>
        <w:tabs>
          <w:tab w:val="left" w:pos="2450"/>
        </w:tabs>
        <w:spacing w:line="680" w:lineRule="exact"/>
        <w:rPr>
          <w:rFonts w:ascii="宋体" w:hAnsi="宋体" w:cs="宋体"/>
          <w:color w:val="auto"/>
          <w:sz w:val="44"/>
          <w:szCs w:val="44"/>
          <w:highlight w:val="none"/>
        </w:rPr>
      </w:pPr>
    </w:p>
    <w:p w14:paraId="21DF4E42">
      <w:pPr>
        <w:snapToGrid w:val="0"/>
        <w:spacing w:line="360" w:lineRule="auto"/>
        <w:jc w:val="center"/>
        <w:rPr>
          <w:rFonts w:ascii="宋体" w:hAnsi="宋体" w:cs="宋体"/>
          <w:b/>
          <w:color w:val="auto"/>
          <w:spacing w:val="170"/>
          <w:kern w:val="0"/>
          <w:sz w:val="84"/>
          <w:szCs w:val="84"/>
          <w:highlight w:val="none"/>
        </w:rPr>
      </w:pPr>
    </w:p>
    <w:p w14:paraId="00746007">
      <w:pPr>
        <w:snapToGrid w:val="0"/>
        <w:spacing w:line="360" w:lineRule="auto"/>
        <w:jc w:val="center"/>
        <w:rPr>
          <w:rFonts w:ascii="宋体" w:hAnsi="宋体" w:cs="宋体"/>
          <w:b/>
          <w:color w:val="auto"/>
          <w:spacing w:val="170"/>
          <w:kern w:val="0"/>
          <w:sz w:val="84"/>
          <w:szCs w:val="84"/>
          <w:highlight w:val="none"/>
        </w:rPr>
      </w:pPr>
      <w:r>
        <w:rPr>
          <w:rFonts w:hint="eastAsia" w:ascii="宋体" w:hAnsi="宋体" w:cs="宋体"/>
          <w:b/>
          <w:color w:val="auto"/>
          <w:spacing w:val="170"/>
          <w:kern w:val="0"/>
          <w:sz w:val="84"/>
          <w:szCs w:val="84"/>
          <w:highlight w:val="none"/>
        </w:rPr>
        <w:t>竞争性磋商</w:t>
      </w:r>
      <w:r>
        <w:rPr>
          <w:rFonts w:hint="eastAsia" w:ascii="宋体" w:hAnsi="宋体" w:cs="宋体"/>
          <w:b/>
          <w:color w:val="auto"/>
          <w:spacing w:val="170"/>
          <w:sz w:val="84"/>
          <w:szCs w:val="84"/>
          <w:highlight w:val="none"/>
        </w:rPr>
        <w:t>文件</w:t>
      </w:r>
    </w:p>
    <w:p w14:paraId="2F37FBC0">
      <w:pPr>
        <w:tabs>
          <w:tab w:val="left" w:pos="2450"/>
        </w:tabs>
        <w:spacing w:line="680" w:lineRule="exact"/>
        <w:rPr>
          <w:rFonts w:ascii="宋体" w:hAnsi="宋体" w:cs="宋体"/>
          <w:color w:val="auto"/>
          <w:sz w:val="44"/>
          <w:szCs w:val="44"/>
          <w:highlight w:val="none"/>
        </w:rPr>
      </w:pPr>
      <w:r>
        <w:rPr>
          <w:rFonts w:hint="eastAsia" w:ascii="宋体" w:hAnsi="宋体" w:cs="宋体"/>
          <w:color w:val="auto"/>
          <w:sz w:val="44"/>
          <w:szCs w:val="44"/>
          <w:highlight w:val="none"/>
        </w:rPr>
        <w:tab/>
      </w:r>
    </w:p>
    <w:p w14:paraId="3EB4C4A0">
      <w:pPr>
        <w:adjustRightInd w:val="0"/>
        <w:snapToGrid w:val="0"/>
        <w:spacing w:line="800" w:lineRule="exact"/>
        <w:rPr>
          <w:rFonts w:ascii="宋体" w:hAnsi="宋体" w:cs="宋体"/>
          <w:color w:val="auto"/>
          <w:sz w:val="44"/>
          <w:szCs w:val="44"/>
          <w:highlight w:val="none"/>
        </w:rPr>
      </w:pPr>
    </w:p>
    <w:p w14:paraId="45D18E2F">
      <w:pPr>
        <w:adjustRightInd w:val="0"/>
        <w:snapToGrid w:val="0"/>
        <w:spacing w:line="800" w:lineRule="exact"/>
        <w:ind w:firstLine="1680" w:firstLineChars="600"/>
        <w:rPr>
          <w:rFonts w:hint="eastAsia" w:ascii="宋体" w:hAnsi="宋体" w:eastAsia="宋体" w:cs="宋体"/>
          <w:bCs/>
          <w:color w:val="auto"/>
          <w:sz w:val="28"/>
          <w:szCs w:val="32"/>
          <w:highlight w:val="none"/>
          <w:lang w:eastAsia="zh-CN"/>
        </w:rPr>
      </w:pPr>
      <w:r>
        <w:rPr>
          <w:rFonts w:hint="eastAsia" w:ascii="宋体" w:hAnsi="宋体" w:cs="宋体"/>
          <w:bCs/>
          <w:color w:val="auto"/>
          <w:sz w:val="28"/>
          <w:szCs w:val="32"/>
          <w:highlight w:val="none"/>
        </w:rPr>
        <w:t>采购项目编号：</w:t>
      </w:r>
      <w:r>
        <w:rPr>
          <w:rFonts w:hint="eastAsia" w:ascii="宋体" w:hAnsi="宋体" w:cs="宋体"/>
          <w:bCs/>
          <w:color w:val="auto"/>
          <w:sz w:val="28"/>
          <w:szCs w:val="32"/>
          <w:highlight w:val="none"/>
          <w:lang w:eastAsia="zh-CN"/>
        </w:rPr>
        <w:t>CT-SC-2026025</w:t>
      </w:r>
    </w:p>
    <w:p w14:paraId="3FA67E52">
      <w:pPr>
        <w:adjustRightInd w:val="0"/>
        <w:snapToGrid w:val="0"/>
        <w:spacing w:line="800" w:lineRule="exact"/>
        <w:ind w:firstLine="1680" w:firstLineChars="600"/>
        <w:rPr>
          <w:rFonts w:hint="eastAsia" w:ascii="宋体" w:hAnsi="宋体" w:eastAsia="宋体" w:cs="宋体"/>
          <w:bCs/>
          <w:color w:val="auto"/>
          <w:sz w:val="28"/>
          <w:szCs w:val="32"/>
          <w:highlight w:val="none"/>
          <w:lang w:eastAsia="zh-CN"/>
        </w:rPr>
      </w:pPr>
      <w:r>
        <w:rPr>
          <w:rFonts w:hint="eastAsia" w:ascii="宋体" w:hAnsi="宋体" w:cs="宋体"/>
          <w:bCs/>
          <w:color w:val="auto"/>
          <w:sz w:val="28"/>
          <w:szCs w:val="32"/>
          <w:highlight w:val="none"/>
        </w:rPr>
        <w:t>采购项目名称：</w:t>
      </w:r>
      <w:r>
        <w:rPr>
          <w:rFonts w:hint="eastAsia" w:ascii="宋体" w:hAnsi="宋体"/>
          <w:bCs/>
          <w:color w:val="auto"/>
          <w:sz w:val="28"/>
          <w:szCs w:val="32"/>
          <w:highlight w:val="none"/>
          <w:lang w:eastAsia="zh-CN"/>
        </w:rPr>
        <w:t>常州市公安局2025年度科技信息化项目监理服务</w:t>
      </w:r>
    </w:p>
    <w:p w14:paraId="78EFA9DC">
      <w:pPr>
        <w:adjustRightInd w:val="0"/>
        <w:snapToGrid w:val="0"/>
        <w:spacing w:line="800" w:lineRule="exact"/>
        <w:ind w:firstLine="1700" w:firstLineChars="500"/>
        <w:rPr>
          <w:rFonts w:hint="eastAsia" w:ascii="宋体" w:hAnsi="宋体" w:eastAsia="宋体" w:cs="宋体"/>
          <w:bCs/>
          <w:color w:val="auto"/>
          <w:sz w:val="28"/>
          <w:szCs w:val="32"/>
          <w:highlight w:val="none"/>
          <w:lang w:eastAsia="zh-CN"/>
        </w:rPr>
      </w:pPr>
      <w:r>
        <w:rPr>
          <w:rFonts w:hint="eastAsia" w:ascii="宋体" w:hAnsi="宋体" w:cs="宋体"/>
          <w:bCs/>
          <w:color w:val="auto"/>
          <w:spacing w:val="30"/>
          <w:sz w:val="28"/>
          <w:szCs w:val="32"/>
          <w:highlight w:val="none"/>
        </w:rPr>
        <w:t>采购人名</w:t>
      </w:r>
      <w:r>
        <w:rPr>
          <w:rFonts w:hint="eastAsia" w:ascii="宋体" w:hAnsi="宋体" w:cs="宋体"/>
          <w:bCs/>
          <w:color w:val="auto"/>
          <w:sz w:val="28"/>
          <w:szCs w:val="32"/>
          <w:highlight w:val="none"/>
        </w:rPr>
        <w:t>称：</w:t>
      </w:r>
      <w:r>
        <w:rPr>
          <w:rFonts w:hint="eastAsia" w:ascii="宋体" w:hAnsi="宋体"/>
          <w:bCs/>
          <w:color w:val="auto"/>
          <w:sz w:val="28"/>
          <w:szCs w:val="32"/>
          <w:highlight w:val="none"/>
          <w:lang w:eastAsia="zh-CN"/>
        </w:rPr>
        <w:t>常州市公安局</w:t>
      </w:r>
    </w:p>
    <w:p w14:paraId="601DCAB8">
      <w:pPr>
        <w:spacing w:line="680" w:lineRule="exact"/>
        <w:jc w:val="center"/>
        <w:rPr>
          <w:rFonts w:ascii="宋体" w:hAnsi="宋体" w:cs="宋体"/>
          <w:color w:val="auto"/>
          <w:sz w:val="44"/>
          <w:szCs w:val="44"/>
          <w:highlight w:val="none"/>
        </w:rPr>
      </w:pPr>
    </w:p>
    <w:p w14:paraId="35BC4D66">
      <w:pPr>
        <w:spacing w:line="680" w:lineRule="exact"/>
        <w:jc w:val="center"/>
        <w:rPr>
          <w:rFonts w:ascii="宋体" w:hAnsi="宋体" w:cs="宋体"/>
          <w:color w:val="auto"/>
          <w:sz w:val="44"/>
          <w:szCs w:val="44"/>
          <w:highlight w:val="none"/>
        </w:rPr>
      </w:pPr>
    </w:p>
    <w:p w14:paraId="3F59DA79">
      <w:pPr>
        <w:spacing w:line="480" w:lineRule="exact"/>
        <w:ind w:firstLine="750" w:firstLineChars="250"/>
        <w:jc w:val="center"/>
        <w:rPr>
          <w:rFonts w:ascii="宋体" w:hAnsi="宋体" w:cs="宋体"/>
          <w:color w:val="auto"/>
          <w:sz w:val="30"/>
          <w:szCs w:val="30"/>
          <w:highlight w:val="none"/>
        </w:rPr>
      </w:pPr>
    </w:p>
    <w:p w14:paraId="0B4B3E93">
      <w:pPr>
        <w:spacing w:line="480" w:lineRule="exact"/>
        <w:jc w:val="center"/>
        <w:rPr>
          <w:rFonts w:ascii="宋体" w:hAnsi="宋体" w:cs="宋体"/>
          <w:color w:val="auto"/>
          <w:sz w:val="36"/>
          <w:szCs w:val="36"/>
          <w:highlight w:val="none"/>
        </w:rPr>
      </w:pPr>
    </w:p>
    <w:p w14:paraId="0789CBF8">
      <w:pPr>
        <w:spacing w:line="48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常州市城投建设工程招标有限公司</w:t>
      </w:r>
    </w:p>
    <w:p w14:paraId="6B72CB9C">
      <w:pPr>
        <w:jc w:val="center"/>
        <w:rPr>
          <w:rFonts w:ascii="宋体" w:hAnsi="宋体" w:cs="宋体"/>
          <w:color w:val="auto"/>
          <w:sz w:val="36"/>
          <w:szCs w:val="36"/>
          <w:highlight w:val="none"/>
        </w:rPr>
      </w:pPr>
    </w:p>
    <w:p w14:paraId="5BB6FCDF">
      <w:pPr>
        <w:jc w:val="center"/>
        <w:rPr>
          <w:rFonts w:ascii="宋体" w:hAnsi="宋体" w:cs="宋体"/>
          <w:b/>
          <w:color w:val="auto"/>
          <w:sz w:val="30"/>
          <w:highlight w:val="none"/>
        </w:rPr>
      </w:pPr>
      <w:r>
        <w:rPr>
          <w:rFonts w:hint="eastAsia" w:ascii="宋体" w:hAnsi="宋体" w:cs="宋体"/>
          <w:color w:val="auto"/>
          <w:w w:val="90"/>
          <w:sz w:val="44"/>
          <w:szCs w:val="44"/>
          <w:highlight w:val="none"/>
        </w:rPr>
        <w:t>二〇二</w:t>
      </w:r>
      <w:r>
        <w:rPr>
          <w:rFonts w:hint="eastAsia" w:ascii="宋体" w:hAnsi="宋体" w:cs="宋体"/>
          <w:color w:val="auto"/>
          <w:w w:val="90"/>
          <w:sz w:val="44"/>
          <w:szCs w:val="44"/>
          <w:highlight w:val="none"/>
          <w:lang w:val="en-US" w:eastAsia="zh-CN"/>
        </w:rPr>
        <w:t>六</w:t>
      </w:r>
      <w:r>
        <w:rPr>
          <w:rFonts w:hint="eastAsia" w:ascii="宋体" w:hAnsi="宋体" w:cs="宋体"/>
          <w:color w:val="auto"/>
          <w:w w:val="90"/>
          <w:sz w:val="44"/>
          <w:szCs w:val="44"/>
          <w:highlight w:val="none"/>
        </w:rPr>
        <w:t>年</w:t>
      </w:r>
      <w:r>
        <w:rPr>
          <w:rFonts w:hint="eastAsia" w:ascii="宋体" w:hAnsi="宋体" w:cs="宋体"/>
          <w:color w:val="auto"/>
          <w:w w:val="90"/>
          <w:sz w:val="44"/>
          <w:szCs w:val="44"/>
          <w:highlight w:val="none"/>
          <w:lang w:val="en-US" w:eastAsia="zh-CN"/>
        </w:rPr>
        <w:t>一</w:t>
      </w:r>
      <w:r>
        <w:rPr>
          <w:rFonts w:hint="eastAsia" w:ascii="宋体" w:hAnsi="宋体" w:cs="宋体"/>
          <w:color w:val="auto"/>
          <w:w w:val="90"/>
          <w:sz w:val="44"/>
          <w:szCs w:val="44"/>
          <w:highlight w:val="none"/>
        </w:rPr>
        <w:t>月</w:t>
      </w:r>
    </w:p>
    <w:p w14:paraId="71385F60">
      <w:pPr>
        <w:spacing w:before="100" w:after="240" w:line="500" w:lineRule="exact"/>
        <w:jc w:val="center"/>
        <w:rPr>
          <w:rFonts w:ascii="宋体" w:hAnsi="宋体" w:cs="宋体"/>
          <w:b/>
          <w:color w:val="auto"/>
          <w:sz w:val="44"/>
          <w:szCs w:val="44"/>
          <w:highlight w:val="none"/>
        </w:rPr>
      </w:pPr>
    </w:p>
    <w:p w14:paraId="77E97491">
      <w:pPr>
        <w:spacing w:before="100" w:after="240" w:line="500" w:lineRule="exact"/>
        <w:jc w:val="center"/>
        <w:rPr>
          <w:rFonts w:ascii="宋体" w:hAnsi="宋体" w:cs="宋体"/>
          <w:b/>
          <w:color w:val="auto"/>
          <w:sz w:val="44"/>
          <w:szCs w:val="44"/>
          <w:highlight w:val="none"/>
        </w:rPr>
      </w:pPr>
    </w:p>
    <w:p w14:paraId="44569D67">
      <w:pPr>
        <w:spacing w:before="100" w:after="240" w:line="500" w:lineRule="exact"/>
        <w:jc w:val="center"/>
        <w:rPr>
          <w:rFonts w:ascii="宋体" w:hAnsi="宋体" w:cs="宋体"/>
          <w:b/>
          <w:color w:val="auto"/>
          <w:sz w:val="44"/>
          <w:szCs w:val="44"/>
          <w:highlight w:val="none"/>
        </w:rPr>
      </w:pPr>
    </w:p>
    <w:sdt>
      <w:sdtPr>
        <w:rPr>
          <w:rFonts w:hint="eastAsia" w:ascii="宋体" w:hAnsi="宋体" w:eastAsia="宋体" w:cs="宋体"/>
          <w:b w:val="0"/>
          <w:bCs w:val="0"/>
          <w:color w:val="auto"/>
          <w:kern w:val="2"/>
          <w:sz w:val="21"/>
          <w:szCs w:val="20"/>
          <w:highlight w:val="none"/>
          <w:lang w:val="zh-CN"/>
        </w:rPr>
        <w:id w:val="21916659"/>
        <w:docPartObj>
          <w:docPartGallery w:val="Table of Contents"/>
          <w:docPartUnique/>
        </w:docPartObj>
      </w:sdtPr>
      <w:sdtEndPr>
        <w:rPr>
          <w:rFonts w:hint="eastAsia" w:ascii="宋体" w:hAnsi="宋体" w:eastAsia="宋体" w:cs="宋体"/>
          <w:b w:val="0"/>
          <w:bCs w:val="0"/>
          <w:color w:val="auto"/>
          <w:kern w:val="2"/>
          <w:sz w:val="21"/>
          <w:szCs w:val="20"/>
          <w:highlight w:val="none"/>
          <w:lang w:val="en-US"/>
        </w:rPr>
      </w:sdtEndPr>
      <w:sdtContent>
        <w:p w14:paraId="34E5D82F">
          <w:pPr>
            <w:pStyle w:val="60"/>
            <w:jc w:val="center"/>
            <w:rPr>
              <w:rFonts w:ascii="宋体" w:hAnsi="宋体" w:eastAsia="宋体" w:cs="宋体"/>
              <w:color w:val="auto"/>
              <w:sz w:val="44"/>
              <w:szCs w:val="44"/>
              <w:highlight w:val="none"/>
              <w:lang w:val="zh-CN"/>
            </w:rPr>
          </w:pPr>
          <w:r>
            <w:rPr>
              <w:rFonts w:hint="eastAsia" w:ascii="宋体" w:hAnsi="宋体" w:eastAsia="宋体" w:cs="宋体"/>
              <w:color w:val="auto"/>
              <w:sz w:val="44"/>
              <w:szCs w:val="44"/>
              <w:highlight w:val="none"/>
              <w:lang w:val="zh-CN"/>
            </w:rPr>
            <w:t>目  录</w:t>
          </w:r>
        </w:p>
        <w:p w14:paraId="600CF413">
          <w:pPr>
            <w:rPr>
              <w:rFonts w:ascii="宋体" w:hAnsi="宋体" w:cs="宋体"/>
              <w:color w:val="auto"/>
              <w:highlight w:val="none"/>
              <w:lang w:val="zh-CN"/>
            </w:rPr>
          </w:pPr>
        </w:p>
        <w:p w14:paraId="08570519">
          <w:pPr>
            <w:pStyle w:val="17"/>
            <w:rPr>
              <w:rFonts w:ascii="宋体" w:hAnsi="宋体" w:cs="宋体"/>
              <w:b/>
              <w:color w:val="auto"/>
              <w:sz w:val="32"/>
              <w:szCs w:val="32"/>
              <w:highlight w:val="none"/>
            </w:rPr>
          </w:pP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 TOC \o "1-3" \h \z \u </w:instrText>
          </w:r>
          <w:r>
            <w:rPr>
              <w:rFonts w:hint="eastAsia" w:ascii="宋体" w:hAnsi="宋体" w:cs="宋体"/>
              <w:b/>
              <w:color w:val="auto"/>
              <w:sz w:val="32"/>
              <w:szCs w:val="32"/>
              <w:highlight w:val="none"/>
            </w:rPr>
            <w:fldChar w:fldCharType="separate"/>
          </w:r>
          <w:r>
            <w:rPr>
              <w:color w:val="auto"/>
              <w:highlight w:val="none"/>
            </w:rPr>
            <w:fldChar w:fldCharType="begin"/>
          </w:r>
          <w:r>
            <w:rPr>
              <w:color w:val="auto"/>
              <w:highlight w:val="none"/>
            </w:rPr>
            <w:instrText xml:space="preserve"> HYPERLINK \l "_Toc17537926" </w:instrText>
          </w:r>
          <w:r>
            <w:rPr>
              <w:color w:val="auto"/>
              <w:highlight w:val="none"/>
            </w:rPr>
            <w:fldChar w:fldCharType="separate"/>
          </w:r>
          <w:r>
            <w:rPr>
              <w:rStyle w:val="25"/>
              <w:rFonts w:hint="eastAsia" w:ascii="宋体" w:hAnsi="宋体" w:cs="宋体"/>
              <w:b/>
              <w:color w:val="auto"/>
              <w:sz w:val="32"/>
              <w:szCs w:val="32"/>
              <w:highlight w:val="none"/>
            </w:rPr>
            <w:t>竞争性磋商公告</w:t>
          </w:r>
          <w:r>
            <w:rPr>
              <w:rFonts w:hint="eastAsia" w:ascii="宋体" w:hAnsi="宋体" w:cs="宋体"/>
              <w:b/>
              <w:color w:val="auto"/>
              <w:sz w:val="32"/>
              <w:szCs w:val="32"/>
              <w:highlight w:val="none"/>
            </w:rPr>
            <w:tab/>
          </w: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 PAGEREF _Toc17537926 \h </w:instrText>
          </w:r>
          <w:r>
            <w:rPr>
              <w:rFonts w:hint="eastAsia" w:ascii="宋体" w:hAnsi="宋体" w:cs="宋体"/>
              <w:b/>
              <w:color w:val="auto"/>
              <w:sz w:val="32"/>
              <w:szCs w:val="32"/>
              <w:highlight w:val="none"/>
            </w:rPr>
            <w:fldChar w:fldCharType="separate"/>
          </w:r>
          <w:r>
            <w:rPr>
              <w:rFonts w:ascii="宋体" w:hAnsi="宋体" w:cs="宋体"/>
              <w:b/>
              <w:color w:val="auto"/>
              <w:sz w:val="32"/>
              <w:szCs w:val="32"/>
              <w:highlight w:val="none"/>
            </w:rPr>
            <w:t>3</w:t>
          </w:r>
          <w:r>
            <w:rPr>
              <w:rFonts w:hint="eastAsia" w:ascii="宋体" w:hAnsi="宋体" w:cs="宋体"/>
              <w:b/>
              <w:color w:val="auto"/>
              <w:sz w:val="32"/>
              <w:szCs w:val="32"/>
              <w:highlight w:val="none"/>
            </w:rPr>
            <w:fldChar w:fldCharType="end"/>
          </w:r>
          <w:r>
            <w:rPr>
              <w:rFonts w:hint="eastAsia" w:ascii="宋体" w:hAnsi="宋体" w:cs="宋体"/>
              <w:b/>
              <w:color w:val="auto"/>
              <w:sz w:val="32"/>
              <w:szCs w:val="32"/>
              <w:highlight w:val="none"/>
            </w:rPr>
            <w:fldChar w:fldCharType="end"/>
          </w:r>
        </w:p>
        <w:p w14:paraId="323D19F7">
          <w:pPr>
            <w:pStyle w:val="17"/>
            <w:rPr>
              <w:rFonts w:ascii="宋体" w:hAnsi="宋体" w:cs="宋体"/>
              <w:b/>
              <w:color w:val="auto"/>
              <w:sz w:val="32"/>
              <w:szCs w:val="32"/>
              <w:highlight w:val="none"/>
            </w:rPr>
          </w:pPr>
          <w:r>
            <w:rPr>
              <w:color w:val="auto"/>
              <w:highlight w:val="none"/>
            </w:rPr>
            <w:fldChar w:fldCharType="begin"/>
          </w:r>
          <w:r>
            <w:rPr>
              <w:color w:val="auto"/>
              <w:highlight w:val="none"/>
            </w:rPr>
            <w:instrText xml:space="preserve"> HYPERLINK \l "_Toc17537927" </w:instrText>
          </w:r>
          <w:r>
            <w:rPr>
              <w:color w:val="auto"/>
              <w:highlight w:val="none"/>
            </w:rPr>
            <w:fldChar w:fldCharType="separate"/>
          </w:r>
          <w:r>
            <w:rPr>
              <w:rStyle w:val="25"/>
              <w:rFonts w:hint="eastAsia" w:ascii="宋体" w:hAnsi="宋体" w:cs="宋体"/>
              <w:b/>
              <w:color w:val="auto"/>
              <w:sz w:val="32"/>
              <w:szCs w:val="32"/>
              <w:highlight w:val="none"/>
            </w:rPr>
            <w:t>第一章  总    则</w:t>
          </w:r>
          <w:r>
            <w:rPr>
              <w:rFonts w:hint="eastAsia" w:ascii="宋体" w:hAnsi="宋体" w:cs="宋体"/>
              <w:b/>
              <w:color w:val="auto"/>
              <w:sz w:val="32"/>
              <w:szCs w:val="32"/>
              <w:highlight w:val="none"/>
            </w:rPr>
            <w:tab/>
          </w: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 PAGEREF _Toc17537927 \h </w:instrText>
          </w:r>
          <w:r>
            <w:rPr>
              <w:rFonts w:hint="eastAsia" w:ascii="宋体" w:hAnsi="宋体" w:cs="宋体"/>
              <w:b/>
              <w:color w:val="auto"/>
              <w:sz w:val="32"/>
              <w:szCs w:val="32"/>
              <w:highlight w:val="none"/>
            </w:rPr>
            <w:fldChar w:fldCharType="separate"/>
          </w:r>
          <w:r>
            <w:rPr>
              <w:rFonts w:ascii="宋体" w:hAnsi="宋体" w:cs="宋体"/>
              <w:b/>
              <w:color w:val="auto"/>
              <w:sz w:val="32"/>
              <w:szCs w:val="32"/>
              <w:highlight w:val="none"/>
            </w:rPr>
            <w:t>7</w:t>
          </w:r>
          <w:r>
            <w:rPr>
              <w:rFonts w:hint="eastAsia" w:ascii="宋体" w:hAnsi="宋体" w:cs="宋体"/>
              <w:b/>
              <w:color w:val="auto"/>
              <w:sz w:val="32"/>
              <w:szCs w:val="32"/>
              <w:highlight w:val="none"/>
            </w:rPr>
            <w:fldChar w:fldCharType="end"/>
          </w:r>
          <w:r>
            <w:rPr>
              <w:rFonts w:hint="eastAsia" w:ascii="宋体" w:hAnsi="宋体" w:cs="宋体"/>
              <w:b/>
              <w:color w:val="auto"/>
              <w:sz w:val="32"/>
              <w:szCs w:val="32"/>
              <w:highlight w:val="none"/>
            </w:rPr>
            <w:fldChar w:fldCharType="end"/>
          </w:r>
        </w:p>
        <w:p w14:paraId="4851CA6B">
          <w:pPr>
            <w:pStyle w:val="17"/>
            <w:rPr>
              <w:rFonts w:ascii="宋体" w:hAnsi="宋体" w:cs="宋体"/>
              <w:b/>
              <w:color w:val="auto"/>
              <w:sz w:val="32"/>
              <w:szCs w:val="32"/>
              <w:highlight w:val="none"/>
            </w:rPr>
          </w:pPr>
          <w:r>
            <w:rPr>
              <w:color w:val="auto"/>
              <w:highlight w:val="none"/>
            </w:rPr>
            <w:fldChar w:fldCharType="begin"/>
          </w:r>
          <w:r>
            <w:rPr>
              <w:color w:val="auto"/>
              <w:highlight w:val="none"/>
            </w:rPr>
            <w:instrText xml:space="preserve"> HYPERLINK \l "_Toc17537928" </w:instrText>
          </w:r>
          <w:r>
            <w:rPr>
              <w:color w:val="auto"/>
              <w:highlight w:val="none"/>
            </w:rPr>
            <w:fldChar w:fldCharType="separate"/>
          </w:r>
          <w:r>
            <w:rPr>
              <w:rStyle w:val="25"/>
              <w:rFonts w:hint="eastAsia" w:ascii="宋体" w:hAnsi="宋体" w:cs="宋体"/>
              <w:b/>
              <w:color w:val="auto"/>
              <w:sz w:val="32"/>
              <w:szCs w:val="32"/>
              <w:highlight w:val="none"/>
            </w:rPr>
            <w:t>第二章  采购项目及技术要求</w:t>
          </w:r>
          <w:r>
            <w:rPr>
              <w:rFonts w:hint="eastAsia" w:ascii="宋体" w:hAnsi="宋体" w:cs="宋体"/>
              <w:b/>
              <w:color w:val="auto"/>
              <w:sz w:val="32"/>
              <w:szCs w:val="32"/>
              <w:highlight w:val="none"/>
            </w:rPr>
            <w:tab/>
          </w: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 PAGEREF _Toc17537928 \h </w:instrText>
          </w:r>
          <w:r>
            <w:rPr>
              <w:rFonts w:hint="eastAsia" w:ascii="宋体" w:hAnsi="宋体" w:cs="宋体"/>
              <w:b/>
              <w:color w:val="auto"/>
              <w:sz w:val="32"/>
              <w:szCs w:val="32"/>
              <w:highlight w:val="none"/>
            </w:rPr>
            <w:fldChar w:fldCharType="separate"/>
          </w:r>
          <w:r>
            <w:rPr>
              <w:rFonts w:ascii="宋体" w:hAnsi="宋体" w:cs="宋体"/>
              <w:b/>
              <w:color w:val="auto"/>
              <w:sz w:val="32"/>
              <w:szCs w:val="32"/>
              <w:highlight w:val="none"/>
            </w:rPr>
            <w:t>16</w:t>
          </w:r>
          <w:r>
            <w:rPr>
              <w:rFonts w:hint="eastAsia" w:ascii="宋体" w:hAnsi="宋体" w:cs="宋体"/>
              <w:b/>
              <w:color w:val="auto"/>
              <w:sz w:val="32"/>
              <w:szCs w:val="32"/>
              <w:highlight w:val="none"/>
            </w:rPr>
            <w:fldChar w:fldCharType="end"/>
          </w:r>
          <w:r>
            <w:rPr>
              <w:rFonts w:hint="eastAsia" w:ascii="宋体" w:hAnsi="宋体" w:cs="宋体"/>
              <w:b/>
              <w:color w:val="auto"/>
              <w:sz w:val="32"/>
              <w:szCs w:val="32"/>
              <w:highlight w:val="none"/>
            </w:rPr>
            <w:fldChar w:fldCharType="end"/>
          </w:r>
        </w:p>
        <w:p w14:paraId="421ED9F6">
          <w:pPr>
            <w:pStyle w:val="17"/>
            <w:rPr>
              <w:rFonts w:ascii="宋体" w:hAnsi="宋体" w:cs="宋体"/>
              <w:b/>
              <w:color w:val="auto"/>
              <w:sz w:val="32"/>
              <w:szCs w:val="32"/>
              <w:highlight w:val="none"/>
            </w:rPr>
          </w:pPr>
          <w:r>
            <w:rPr>
              <w:color w:val="auto"/>
              <w:highlight w:val="none"/>
            </w:rPr>
            <w:fldChar w:fldCharType="begin"/>
          </w:r>
          <w:r>
            <w:rPr>
              <w:color w:val="auto"/>
              <w:highlight w:val="none"/>
            </w:rPr>
            <w:instrText xml:space="preserve"> HYPERLINK \l "_Toc17537929" </w:instrText>
          </w:r>
          <w:r>
            <w:rPr>
              <w:color w:val="auto"/>
              <w:highlight w:val="none"/>
            </w:rPr>
            <w:fldChar w:fldCharType="separate"/>
          </w:r>
          <w:r>
            <w:rPr>
              <w:rStyle w:val="25"/>
              <w:rFonts w:hint="eastAsia" w:ascii="宋体" w:hAnsi="宋体" w:cs="宋体"/>
              <w:b/>
              <w:color w:val="auto"/>
              <w:sz w:val="32"/>
              <w:szCs w:val="32"/>
              <w:highlight w:val="none"/>
            </w:rPr>
            <w:t>第三章  合同主要条款</w:t>
          </w:r>
          <w:r>
            <w:rPr>
              <w:rFonts w:hint="eastAsia" w:ascii="宋体" w:hAnsi="宋体" w:cs="宋体"/>
              <w:b/>
              <w:color w:val="auto"/>
              <w:sz w:val="32"/>
              <w:szCs w:val="32"/>
              <w:highlight w:val="none"/>
            </w:rPr>
            <w:tab/>
          </w: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 PAGEREF _Toc17537929 \h </w:instrText>
          </w:r>
          <w:r>
            <w:rPr>
              <w:rFonts w:hint="eastAsia" w:ascii="宋体" w:hAnsi="宋体" w:cs="宋体"/>
              <w:b/>
              <w:color w:val="auto"/>
              <w:sz w:val="32"/>
              <w:szCs w:val="32"/>
              <w:highlight w:val="none"/>
            </w:rPr>
            <w:fldChar w:fldCharType="separate"/>
          </w:r>
          <w:r>
            <w:rPr>
              <w:rFonts w:ascii="宋体" w:hAnsi="宋体" w:cs="宋体"/>
              <w:b/>
              <w:color w:val="auto"/>
              <w:sz w:val="32"/>
              <w:szCs w:val="32"/>
              <w:highlight w:val="none"/>
            </w:rPr>
            <w:t>18</w:t>
          </w:r>
          <w:r>
            <w:rPr>
              <w:rFonts w:hint="eastAsia" w:ascii="宋体" w:hAnsi="宋体" w:cs="宋体"/>
              <w:b/>
              <w:color w:val="auto"/>
              <w:sz w:val="32"/>
              <w:szCs w:val="32"/>
              <w:highlight w:val="none"/>
            </w:rPr>
            <w:fldChar w:fldCharType="end"/>
          </w:r>
          <w:r>
            <w:rPr>
              <w:rFonts w:hint="eastAsia" w:ascii="宋体" w:hAnsi="宋体" w:cs="宋体"/>
              <w:b/>
              <w:color w:val="auto"/>
              <w:sz w:val="32"/>
              <w:szCs w:val="32"/>
              <w:highlight w:val="none"/>
            </w:rPr>
            <w:fldChar w:fldCharType="end"/>
          </w:r>
        </w:p>
        <w:p w14:paraId="5F19AE72">
          <w:pPr>
            <w:pStyle w:val="17"/>
            <w:rPr>
              <w:rFonts w:ascii="宋体" w:hAnsi="宋体" w:cs="宋体"/>
              <w:b/>
              <w:color w:val="auto"/>
              <w:sz w:val="32"/>
              <w:szCs w:val="32"/>
              <w:highlight w:val="none"/>
            </w:rPr>
          </w:pPr>
          <w:r>
            <w:rPr>
              <w:color w:val="auto"/>
              <w:highlight w:val="none"/>
            </w:rPr>
            <w:fldChar w:fldCharType="begin"/>
          </w:r>
          <w:r>
            <w:rPr>
              <w:color w:val="auto"/>
              <w:highlight w:val="none"/>
            </w:rPr>
            <w:instrText xml:space="preserve"> HYPERLINK \l "_Toc17537930" </w:instrText>
          </w:r>
          <w:r>
            <w:rPr>
              <w:color w:val="auto"/>
              <w:highlight w:val="none"/>
            </w:rPr>
            <w:fldChar w:fldCharType="separate"/>
          </w:r>
          <w:r>
            <w:rPr>
              <w:rStyle w:val="25"/>
              <w:rFonts w:hint="eastAsia" w:ascii="宋体" w:hAnsi="宋体" w:cs="宋体"/>
              <w:b/>
              <w:color w:val="auto"/>
              <w:sz w:val="32"/>
              <w:szCs w:val="32"/>
              <w:highlight w:val="none"/>
            </w:rPr>
            <w:t>第四章  评审细则</w:t>
          </w:r>
          <w:r>
            <w:rPr>
              <w:rFonts w:hint="eastAsia" w:ascii="宋体" w:hAnsi="宋体" w:cs="宋体"/>
              <w:b/>
              <w:color w:val="auto"/>
              <w:sz w:val="32"/>
              <w:szCs w:val="32"/>
              <w:highlight w:val="none"/>
            </w:rPr>
            <w:tab/>
          </w: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 PAGEREF _Toc17537930 \h </w:instrText>
          </w:r>
          <w:r>
            <w:rPr>
              <w:rFonts w:hint="eastAsia" w:ascii="宋体" w:hAnsi="宋体" w:cs="宋体"/>
              <w:b/>
              <w:color w:val="auto"/>
              <w:sz w:val="32"/>
              <w:szCs w:val="32"/>
              <w:highlight w:val="none"/>
            </w:rPr>
            <w:fldChar w:fldCharType="separate"/>
          </w:r>
          <w:r>
            <w:rPr>
              <w:rFonts w:ascii="宋体" w:hAnsi="宋体" w:cs="宋体"/>
              <w:b/>
              <w:color w:val="auto"/>
              <w:sz w:val="32"/>
              <w:szCs w:val="32"/>
              <w:highlight w:val="none"/>
            </w:rPr>
            <w:t>21</w:t>
          </w:r>
          <w:r>
            <w:rPr>
              <w:rFonts w:hint="eastAsia" w:ascii="宋体" w:hAnsi="宋体" w:cs="宋体"/>
              <w:b/>
              <w:color w:val="auto"/>
              <w:sz w:val="32"/>
              <w:szCs w:val="32"/>
              <w:highlight w:val="none"/>
            </w:rPr>
            <w:fldChar w:fldCharType="end"/>
          </w:r>
          <w:r>
            <w:rPr>
              <w:rFonts w:hint="eastAsia" w:ascii="宋体" w:hAnsi="宋体" w:cs="宋体"/>
              <w:b/>
              <w:color w:val="auto"/>
              <w:sz w:val="32"/>
              <w:szCs w:val="32"/>
              <w:highlight w:val="none"/>
            </w:rPr>
            <w:fldChar w:fldCharType="end"/>
          </w:r>
        </w:p>
        <w:p w14:paraId="5C5A3E70">
          <w:pPr>
            <w:pStyle w:val="17"/>
            <w:rPr>
              <w:rFonts w:ascii="宋体" w:hAnsi="宋体" w:cs="宋体"/>
              <w:b/>
              <w:color w:val="auto"/>
              <w:sz w:val="32"/>
              <w:szCs w:val="32"/>
              <w:highlight w:val="none"/>
            </w:rPr>
          </w:pPr>
          <w:r>
            <w:rPr>
              <w:color w:val="auto"/>
              <w:highlight w:val="none"/>
            </w:rPr>
            <w:fldChar w:fldCharType="begin"/>
          </w:r>
          <w:r>
            <w:rPr>
              <w:color w:val="auto"/>
              <w:highlight w:val="none"/>
            </w:rPr>
            <w:instrText xml:space="preserve"> HYPERLINK \l "_Toc17537931" </w:instrText>
          </w:r>
          <w:r>
            <w:rPr>
              <w:color w:val="auto"/>
              <w:highlight w:val="none"/>
            </w:rPr>
            <w:fldChar w:fldCharType="separate"/>
          </w:r>
          <w:r>
            <w:rPr>
              <w:rStyle w:val="25"/>
              <w:rFonts w:hint="eastAsia" w:ascii="宋体" w:hAnsi="宋体" w:cs="宋体"/>
              <w:b/>
              <w:color w:val="auto"/>
              <w:sz w:val="32"/>
              <w:szCs w:val="32"/>
              <w:highlight w:val="none"/>
            </w:rPr>
            <w:t>第五章  磋商响应文件的组成</w:t>
          </w:r>
          <w:r>
            <w:rPr>
              <w:rFonts w:hint="eastAsia" w:ascii="宋体" w:hAnsi="宋体" w:cs="宋体"/>
              <w:b/>
              <w:color w:val="auto"/>
              <w:sz w:val="32"/>
              <w:szCs w:val="32"/>
              <w:highlight w:val="none"/>
            </w:rPr>
            <w:tab/>
          </w: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 PAGEREF _Toc17537931 \h </w:instrText>
          </w:r>
          <w:r>
            <w:rPr>
              <w:rFonts w:hint="eastAsia" w:ascii="宋体" w:hAnsi="宋体" w:cs="宋体"/>
              <w:b/>
              <w:color w:val="auto"/>
              <w:sz w:val="32"/>
              <w:szCs w:val="32"/>
              <w:highlight w:val="none"/>
            </w:rPr>
            <w:fldChar w:fldCharType="separate"/>
          </w:r>
          <w:r>
            <w:rPr>
              <w:rFonts w:ascii="宋体" w:hAnsi="宋体" w:cs="宋体"/>
              <w:b/>
              <w:color w:val="auto"/>
              <w:sz w:val="32"/>
              <w:szCs w:val="32"/>
              <w:highlight w:val="none"/>
            </w:rPr>
            <w:t>22</w:t>
          </w:r>
          <w:r>
            <w:rPr>
              <w:rFonts w:hint="eastAsia" w:ascii="宋体" w:hAnsi="宋体" w:cs="宋体"/>
              <w:b/>
              <w:color w:val="auto"/>
              <w:sz w:val="32"/>
              <w:szCs w:val="32"/>
              <w:highlight w:val="none"/>
            </w:rPr>
            <w:fldChar w:fldCharType="end"/>
          </w:r>
          <w:r>
            <w:rPr>
              <w:rFonts w:hint="eastAsia" w:ascii="宋体" w:hAnsi="宋体" w:cs="宋体"/>
              <w:b/>
              <w:color w:val="auto"/>
              <w:sz w:val="32"/>
              <w:szCs w:val="32"/>
              <w:highlight w:val="none"/>
            </w:rPr>
            <w:fldChar w:fldCharType="end"/>
          </w:r>
        </w:p>
        <w:p w14:paraId="2D1974E8">
          <w:pPr>
            <w:pStyle w:val="17"/>
            <w:rPr>
              <w:rFonts w:ascii="宋体" w:hAnsi="宋体" w:cs="宋体"/>
              <w:b/>
              <w:color w:val="auto"/>
              <w:sz w:val="32"/>
              <w:szCs w:val="32"/>
              <w:highlight w:val="none"/>
            </w:rPr>
          </w:pPr>
          <w:r>
            <w:rPr>
              <w:color w:val="auto"/>
              <w:highlight w:val="none"/>
            </w:rPr>
            <w:fldChar w:fldCharType="begin"/>
          </w:r>
          <w:r>
            <w:rPr>
              <w:color w:val="auto"/>
              <w:highlight w:val="none"/>
            </w:rPr>
            <w:instrText xml:space="preserve"> HYPERLINK \l "_Toc17537932" </w:instrText>
          </w:r>
          <w:r>
            <w:rPr>
              <w:color w:val="auto"/>
              <w:highlight w:val="none"/>
            </w:rPr>
            <w:fldChar w:fldCharType="separate"/>
          </w:r>
          <w:r>
            <w:rPr>
              <w:rStyle w:val="25"/>
              <w:rFonts w:hint="eastAsia" w:ascii="宋体" w:hAnsi="宋体" w:cs="宋体"/>
              <w:b/>
              <w:color w:val="auto"/>
              <w:sz w:val="32"/>
              <w:szCs w:val="32"/>
              <w:highlight w:val="none"/>
            </w:rPr>
            <w:t>第六章  附    件</w:t>
          </w:r>
          <w:r>
            <w:rPr>
              <w:rFonts w:hint="eastAsia" w:ascii="宋体" w:hAnsi="宋体" w:cs="宋体"/>
              <w:b/>
              <w:color w:val="auto"/>
              <w:sz w:val="32"/>
              <w:szCs w:val="32"/>
              <w:highlight w:val="none"/>
            </w:rPr>
            <w:tab/>
          </w: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 PAGEREF _Toc17537932 \h </w:instrText>
          </w:r>
          <w:r>
            <w:rPr>
              <w:rFonts w:hint="eastAsia" w:ascii="宋体" w:hAnsi="宋体" w:cs="宋体"/>
              <w:b/>
              <w:color w:val="auto"/>
              <w:sz w:val="32"/>
              <w:szCs w:val="32"/>
              <w:highlight w:val="none"/>
            </w:rPr>
            <w:fldChar w:fldCharType="separate"/>
          </w:r>
          <w:r>
            <w:rPr>
              <w:rFonts w:ascii="宋体" w:hAnsi="宋体" w:cs="宋体"/>
              <w:b/>
              <w:color w:val="auto"/>
              <w:sz w:val="32"/>
              <w:szCs w:val="32"/>
              <w:highlight w:val="none"/>
            </w:rPr>
            <w:t>23</w:t>
          </w:r>
          <w:r>
            <w:rPr>
              <w:rFonts w:hint="eastAsia" w:ascii="宋体" w:hAnsi="宋体" w:cs="宋体"/>
              <w:b/>
              <w:color w:val="auto"/>
              <w:sz w:val="32"/>
              <w:szCs w:val="32"/>
              <w:highlight w:val="none"/>
            </w:rPr>
            <w:fldChar w:fldCharType="end"/>
          </w:r>
          <w:r>
            <w:rPr>
              <w:rFonts w:hint="eastAsia" w:ascii="宋体" w:hAnsi="宋体" w:cs="宋体"/>
              <w:b/>
              <w:color w:val="auto"/>
              <w:sz w:val="32"/>
              <w:szCs w:val="32"/>
              <w:highlight w:val="none"/>
            </w:rPr>
            <w:fldChar w:fldCharType="end"/>
          </w:r>
        </w:p>
        <w:p w14:paraId="5083F1CF">
          <w:pPr>
            <w:rPr>
              <w:rFonts w:ascii="宋体" w:hAnsi="宋体" w:cs="宋体"/>
              <w:color w:val="auto"/>
              <w:highlight w:val="none"/>
            </w:rPr>
          </w:pPr>
          <w:r>
            <w:rPr>
              <w:rFonts w:hint="eastAsia" w:ascii="宋体" w:hAnsi="宋体" w:cs="宋体"/>
              <w:b/>
              <w:color w:val="auto"/>
              <w:sz w:val="32"/>
              <w:szCs w:val="32"/>
              <w:highlight w:val="none"/>
            </w:rPr>
            <w:fldChar w:fldCharType="end"/>
          </w:r>
        </w:p>
      </w:sdtContent>
    </w:sdt>
    <w:p w14:paraId="36E21DBF">
      <w:pPr>
        <w:spacing w:line="360" w:lineRule="auto"/>
        <w:jc w:val="center"/>
        <w:rPr>
          <w:rFonts w:ascii="宋体" w:hAnsi="宋体" w:cs="宋体"/>
          <w:b/>
          <w:bCs/>
          <w:color w:val="auto"/>
          <w:sz w:val="24"/>
          <w:szCs w:val="24"/>
          <w:highlight w:val="none"/>
        </w:rPr>
      </w:pPr>
    </w:p>
    <w:p w14:paraId="6BB939ED">
      <w:pPr>
        <w:spacing w:line="360" w:lineRule="auto"/>
        <w:rPr>
          <w:rFonts w:ascii="宋体" w:hAnsi="宋体" w:cs="宋体"/>
          <w:b/>
          <w:bCs/>
          <w:color w:val="auto"/>
          <w:sz w:val="24"/>
          <w:szCs w:val="24"/>
          <w:highlight w:val="none"/>
        </w:rPr>
      </w:pPr>
    </w:p>
    <w:p w14:paraId="71312C2B">
      <w:pPr>
        <w:spacing w:line="360" w:lineRule="auto"/>
        <w:rPr>
          <w:rFonts w:ascii="宋体" w:hAnsi="宋体" w:cs="宋体"/>
          <w:b/>
          <w:bCs/>
          <w:color w:val="auto"/>
          <w:sz w:val="24"/>
          <w:szCs w:val="24"/>
          <w:highlight w:val="none"/>
        </w:rPr>
      </w:pPr>
    </w:p>
    <w:p w14:paraId="2E496588">
      <w:pPr>
        <w:spacing w:line="360" w:lineRule="auto"/>
        <w:rPr>
          <w:rFonts w:ascii="宋体" w:hAnsi="宋体" w:cs="宋体"/>
          <w:b/>
          <w:bCs/>
          <w:color w:val="auto"/>
          <w:sz w:val="24"/>
          <w:szCs w:val="24"/>
          <w:highlight w:val="none"/>
        </w:rPr>
      </w:pPr>
    </w:p>
    <w:p w14:paraId="1E27F50D">
      <w:pPr>
        <w:spacing w:line="360" w:lineRule="auto"/>
        <w:rPr>
          <w:rFonts w:ascii="宋体" w:hAnsi="宋体" w:cs="宋体"/>
          <w:b/>
          <w:bCs/>
          <w:color w:val="auto"/>
          <w:sz w:val="24"/>
          <w:szCs w:val="24"/>
          <w:highlight w:val="none"/>
        </w:rPr>
      </w:pPr>
    </w:p>
    <w:p w14:paraId="6DEDE3E9">
      <w:pPr>
        <w:spacing w:line="360" w:lineRule="auto"/>
        <w:rPr>
          <w:rFonts w:ascii="宋体" w:hAnsi="宋体" w:cs="宋体"/>
          <w:b/>
          <w:bCs/>
          <w:color w:val="auto"/>
          <w:sz w:val="24"/>
          <w:szCs w:val="24"/>
          <w:highlight w:val="none"/>
        </w:rPr>
      </w:pPr>
    </w:p>
    <w:p w14:paraId="34B96B56">
      <w:pPr>
        <w:spacing w:line="360" w:lineRule="auto"/>
        <w:rPr>
          <w:rFonts w:ascii="宋体" w:hAnsi="宋体" w:cs="宋体"/>
          <w:b/>
          <w:bCs/>
          <w:color w:val="auto"/>
          <w:sz w:val="24"/>
          <w:szCs w:val="24"/>
          <w:highlight w:val="none"/>
        </w:rPr>
      </w:pPr>
    </w:p>
    <w:p w14:paraId="47135B7D">
      <w:pPr>
        <w:spacing w:line="360" w:lineRule="auto"/>
        <w:rPr>
          <w:rFonts w:ascii="宋体" w:hAnsi="宋体" w:cs="宋体"/>
          <w:b/>
          <w:bCs/>
          <w:color w:val="auto"/>
          <w:sz w:val="24"/>
          <w:szCs w:val="24"/>
          <w:highlight w:val="none"/>
        </w:rPr>
      </w:pPr>
    </w:p>
    <w:p w14:paraId="3EEB4702">
      <w:pPr>
        <w:spacing w:line="360" w:lineRule="auto"/>
        <w:rPr>
          <w:rFonts w:ascii="宋体" w:hAnsi="宋体" w:cs="宋体"/>
          <w:b/>
          <w:bCs/>
          <w:color w:val="auto"/>
          <w:sz w:val="24"/>
          <w:szCs w:val="24"/>
          <w:highlight w:val="none"/>
        </w:rPr>
      </w:pPr>
    </w:p>
    <w:p w14:paraId="5255F9AA">
      <w:pPr>
        <w:adjustRightInd w:val="0"/>
        <w:snapToGrid w:val="0"/>
        <w:spacing w:line="600" w:lineRule="exact"/>
        <w:jc w:val="center"/>
        <w:rPr>
          <w:rFonts w:hint="eastAsia" w:ascii="黑体" w:hAnsi="黑体" w:eastAsia="黑体" w:cs="宋体"/>
          <w:b/>
          <w:color w:val="auto"/>
          <w:kern w:val="0"/>
          <w:sz w:val="44"/>
          <w:szCs w:val="44"/>
          <w:highlight w:val="none"/>
          <w:lang w:eastAsia="zh-CN"/>
        </w:rPr>
      </w:pPr>
      <w:r>
        <w:rPr>
          <w:rFonts w:hint="eastAsia" w:ascii="黑体" w:hAnsi="黑体" w:eastAsia="黑体" w:cs="宋体"/>
          <w:b/>
          <w:color w:val="auto"/>
          <w:kern w:val="0"/>
          <w:sz w:val="44"/>
          <w:szCs w:val="44"/>
          <w:highlight w:val="none"/>
          <w:lang w:eastAsia="zh-CN"/>
        </w:rPr>
        <w:t>常州市公安局2025年度科技信息化项目</w:t>
      </w:r>
    </w:p>
    <w:p w14:paraId="51E16823">
      <w:pPr>
        <w:adjustRightInd w:val="0"/>
        <w:snapToGrid w:val="0"/>
        <w:spacing w:line="600" w:lineRule="exact"/>
        <w:jc w:val="center"/>
        <w:rPr>
          <w:rFonts w:hAnsi="黑体" w:eastAsia="黑体" w:cs="宋体"/>
          <w:color w:val="auto"/>
          <w:sz w:val="44"/>
          <w:szCs w:val="44"/>
          <w:highlight w:val="none"/>
        </w:rPr>
      </w:pPr>
      <w:r>
        <w:rPr>
          <w:rFonts w:hint="eastAsia" w:ascii="黑体" w:hAnsi="黑体" w:eastAsia="黑体" w:cs="宋体"/>
          <w:b/>
          <w:color w:val="auto"/>
          <w:kern w:val="0"/>
          <w:sz w:val="44"/>
          <w:szCs w:val="44"/>
          <w:highlight w:val="none"/>
          <w:lang w:eastAsia="zh-CN"/>
        </w:rPr>
        <w:t>监理服务</w:t>
      </w:r>
      <w:r>
        <w:rPr>
          <w:rFonts w:hint="eastAsia" w:ascii="黑体" w:hAnsi="黑体" w:eastAsia="黑体" w:cs="宋体"/>
          <w:b/>
          <w:color w:val="auto"/>
          <w:sz w:val="44"/>
          <w:szCs w:val="44"/>
          <w:highlight w:val="none"/>
        </w:rPr>
        <w:t>项目</w:t>
      </w:r>
      <w:bookmarkStart w:id="0" w:name="_Toc17537926"/>
      <w:r>
        <w:rPr>
          <w:rFonts w:hint="eastAsia" w:ascii="黑体" w:hAnsi="黑体" w:eastAsia="黑体" w:cs="宋体"/>
          <w:b/>
          <w:color w:val="auto"/>
          <w:sz w:val="44"/>
          <w:szCs w:val="44"/>
          <w:highlight w:val="none"/>
        </w:rPr>
        <w:t>竞争性磋商公告</w:t>
      </w:r>
      <w:bookmarkEnd w:id="0"/>
    </w:p>
    <w:p w14:paraId="3FCCB21E">
      <w:pPr>
        <w:pBdr>
          <w:top w:val="single" w:color="auto" w:sz="4" w:space="1"/>
          <w:left w:val="single" w:color="auto" w:sz="4" w:space="4"/>
          <w:bottom w:val="single" w:color="auto" w:sz="4" w:space="9"/>
          <w:right w:val="single" w:color="auto" w:sz="4" w:space="4"/>
        </w:pBd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项目概况</w:t>
      </w:r>
    </w:p>
    <w:p w14:paraId="05D6A8DD">
      <w:pPr>
        <w:pBdr>
          <w:top w:val="single" w:color="auto" w:sz="4" w:space="1"/>
          <w:left w:val="single" w:color="auto" w:sz="4" w:space="4"/>
          <w:bottom w:val="single" w:color="auto" w:sz="4" w:space="9"/>
          <w:right w:val="single" w:color="auto" w:sz="4" w:space="4"/>
        </w:pBd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lang w:eastAsia="zh-CN"/>
        </w:rPr>
        <w:t>常州市公安局2025年度科技信息化项目监理服务</w:t>
      </w:r>
      <w:r>
        <w:rPr>
          <w:rFonts w:hint="eastAsia" w:ascii="仿宋" w:hAnsi="仿宋" w:eastAsia="仿宋" w:cs="宋体"/>
          <w:color w:val="auto"/>
          <w:sz w:val="32"/>
          <w:szCs w:val="32"/>
          <w:highlight w:val="none"/>
        </w:rPr>
        <w:t>项目的</w:t>
      </w:r>
      <w:r>
        <w:rPr>
          <w:rFonts w:hint="eastAsia" w:ascii="仿宋" w:hAnsi="仿宋" w:eastAsia="仿宋" w:cs="宋体"/>
          <w:color w:val="auto"/>
          <w:sz w:val="32"/>
          <w:szCs w:val="32"/>
          <w:highlight w:val="none"/>
        </w:rPr>
        <w:t>潜在供应商应在常州市城投建设工程招标有限</w:t>
      </w:r>
      <w:r>
        <w:rPr>
          <w:rFonts w:hint="eastAsia" w:ascii="仿宋" w:hAnsi="仿宋" w:eastAsia="仿宋" w:cs="宋体"/>
          <w:color w:val="auto"/>
          <w:sz w:val="32"/>
          <w:szCs w:val="32"/>
          <w:highlight w:val="none"/>
        </w:rPr>
        <w:t>公司获取采购文件，并于</w:t>
      </w:r>
      <w:r>
        <w:rPr>
          <w:rFonts w:hint="eastAsia" w:ascii="仿宋" w:hAnsi="仿宋" w:eastAsia="仿宋" w:cs="宋体"/>
          <w:color w:val="auto"/>
          <w:sz w:val="32"/>
          <w:szCs w:val="32"/>
          <w:highlight w:val="none"/>
          <w:lang w:val="en-US" w:eastAsia="zh-CN"/>
        </w:rPr>
        <w:t>2026</w:t>
      </w:r>
      <w:r>
        <w:rPr>
          <w:rFonts w:hint="eastAsia" w:ascii="仿宋" w:hAnsi="仿宋" w:eastAsia="仿宋" w:cs="宋体"/>
          <w:color w:val="auto"/>
          <w:sz w:val="32"/>
          <w:szCs w:val="32"/>
          <w:highlight w:val="none"/>
          <w:lang w:val="en-US" w:eastAsia="zh-CN"/>
        </w:rPr>
        <w:t>年02月09日</w:t>
      </w:r>
      <w:r>
        <w:rPr>
          <w:rFonts w:hint="eastAsia" w:ascii="仿宋" w:hAnsi="仿宋" w:eastAsia="仿宋" w:cs="宋体"/>
          <w:b/>
          <w:bCs/>
          <w:color w:val="auto"/>
          <w:sz w:val="32"/>
          <w:szCs w:val="32"/>
          <w:highlight w:val="none"/>
          <w:lang w:val="en-US" w:eastAsia="zh-CN"/>
        </w:rPr>
        <w:t>14</w:t>
      </w:r>
      <w:r>
        <w:rPr>
          <w:rFonts w:hint="eastAsia" w:ascii="仿宋" w:hAnsi="仿宋" w:eastAsia="仿宋" w:cs="宋体"/>
          <w:b/>
          <w:bCs/>
          <w:color w:val="auto"/>
          <w:sz w:val="32"/>
          <w:szCs w:val="32"/>
          <w:highlight w:val="none"/>
        </w:rPr>
        <w:t>点</w:t>
      </w:r>
      <w:r>
        <w:rPr>
          <w:rFonts w:hint="eastAsia" w:ascii="仿宋" w:hAnsi="仿宋" w:eastAsia="仿宋" w:cs="宋体"/>
          <w:b/>
          <w:bCs/>
          <w:color w:val="auto"/>
          <w:sz w:val="32"/>
          <w:szCs w:val="32"/>
          <w:highlight w:val="none"/>
          <w:lang w:val="en-US" w:eastAsia="zh-CN"/>
        </w:rPr>
        <w:t>30</w:t>
      </w:r>
      <w:r>
        <w:rPr>
          <w:rFonts w:hint="eastAsia" w:ascii="仿宋" w:hAnsi="仿宋" w:eastAsia="仿宋" w:cs="宋体"/>
          <w:b/>
          <w:bCs/>
          <w:color w:val="auto"/>
          <w:sz w:val="32"/>
          <w:szCs w:val="32"/>
          <w:highlight w:val="none"/>
        </w:rPr>
        <w:t>分（北京时间）</w:t>
      </w:r>
      <w:r>
        <w:rPr>
          <w:rFonts w:hint="eastAsia" w:ascii="仿宋" w:hAnsi="仿宋" w:eastAsia="仿宋" w:cs="宋体"/>
          <w:color w:val="auto"/>
          <w:sz w:val="32"/>
          <w:szCs w:val="32"/>
          <w:highlight w:val="none"/>
        </w:rPr>
        <w:t>前</w:t>
      </w:r>
      <w:r>
        <w:rPr>
          <w:rFonts w:hint="eastAsia" w:ascii="仿宋" w:hAnsi="仿宋" w:eastAsia="仿宋" w:cs="宋体"/>
          <w:color w:val="auto"/>
          <w:sz w:val="32"/>
          <w:szCs w:val="32"/>
          <w:highlight w:val="none"/>
        </w:rPr>
        <w:t>提交响应文件。</w:t>
      </w:r>
    </w:p>
    <w:p w14:paraId="47B4FC48">
      <w:pPr>
        <w:snapToGrid w:val="0"/>
        <w:spacing w:line="600" w:lineRule="exact"/>
        <w:ind w:firstLine="643" w:firstLineChars="200"/>
        <w:rPr>
          <w:rFonts w:ascii="仿宋" w:hAnsi="仿宋" w:eastAsia="仿宋" w:cs="宋体"/>
          <w:b/>
          <w:color w:val="auto"/>
          <w:sz w:val="32"/>
          <w:szCs w:val="32"/>
          <w:highlight w:val="none"/>
        </w:rPr>
      </w:pPr>
      <w:bookmarkStart w:id="15" w:name="_GoBack"/>
      <w:r>
        <w:rPr>
          <w:rFonts w:hint="eastAsia" w:ascii="仿宋" w:hAnsi="仿宋" w:eastAsia="仿宋" w:cs="宋体"/>
          <w:b/>
          <w:color w:val="auto"/>
          <w:sz w:val="32"/>
          <w:szCs w:val="32"/>
          <w:highlight w:val="none"/>
        </w:rPr>
        <w:t>一、项目基本情况</w:t>
      </w:r>
    </w:p>
    <w:p w14:paraId="46353F29">
      <w:pPr>
        <w:snapToGrid w:val="0"/>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1</w:t>
      </w:r>
      <w:r>
        <w:rPr>
          <w:rFonts w:hint="eastAsia" w:ascii="仿宋" w:hAnsi="仿宋" w:eastAsia="仿宋" w:cs="宋体"/>
          <w:color w:val="auto"/>
          <w:sz w:val="32"/>
          <w:szCs w:val="32"/>
          <w:highlight w:val="none"/>
        </w:rPr>
        <w:t>.项目编号：</w:t>
      </w:r>
      <w:r>
        <w:rPr>
          <w:rFonts w:hint="eastAsia" w:ascii="仿宋" w:hAnsi="仿宋" w:eastAsia="仿宋" w:cs="宋体"/>
          <w:color w:val="auto"/>
          <w:sz w:val="32"/>
          <w:szCs w:val="32"/>
          <w:highlight w:val="none"/>
          <w:lang w:eastAsia="zh-CN"/>
        </w:rPr>
        <w:t>CT-SC-2026025</w:t>
      </w:r>
    </w:p>
    <w:p w14:paraId="4DCAEDD7">
      <w:pPr>
        <w:snapToGrid w:val="0"/>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2.项目名称：</w:t>
      </w:r>
      <w:r>
        <w:rPr>
          <w:rFonts w:hint="eastAsia" w:ascii="仿宋" w:hAnsi="仿宋" w:eastAsia="仿宋"/>
          <w:color w:val="auto"/>
          <w:sz w:val="32"/>
          <w:szCs w:val="32"/>
          <w:highlight w:val="none"/>
          <w:lang w:eastAsia="zh-CN"/>
        </w:rPr>
        <w:t>常州市公安局2025年度科技信息化项目监理服务</w:t>
      </w:r>
    </w:p>
    <w:p w14:paraId="7238FEE3">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3.采购方式：竞争性磋商</w:t>
      </w:r>
    </w:p>
    <w:p w14:paraId="7920239D">
      <w:pPr>
        <w:snapToGrid w:val="0"/>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4.预算金额：</w:t>
      </w:r>
      <w:r>
        <w:rPr>
          <w:rFonts w:hint="eastAsia" w:ascii="仿宋" w:hAnsi="仿宋" w:eastAsia="仿宋" w:cs="宋体"/>
          <w:color w:val="auto"/>
          <w:sz w:val="32"/>
          <w:szCs w:val="32"/>
          <w:highlight w:val="none"/>
          <w:lang w:eastAsia="zh-CN"/>
        </w:rPr>
        <w:t>人民币17.7万元</w:t>
      </w:r>
    </w:p>
    <w:p w14:paraId="55578707">
      <w:pPr>
        <w:snapToGrid w:val="0"/>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5.最高限价：</w:t>
      </w:r>
      <w:r>
        <w:rPr>
          <w:rFonts w:hint="eastAsia" w:ascii="仿宋" w:hAnsi="仿宋" w:eastAsia="仿宋" w:cs="宋体"/>
          <w:color w:val="auto"/>
          <w:sz w:val="32"/>
          <w:szCs w:val="32"/>
          <w:highlight w:val="none"/>
          <w:lang w:eastAsia="zh-CN"/>
        </w:rPr>
        <w:t>人民币17.7万元</w:t>
      </w:r>
    </w:p>
    <w:p w14:paraId="02FECA8E">
      <w:pPr>
        <w:snapToGrid w:val="0"/>
        <w:spacing w:line="600" w:lineRule="exact"/>
        <w:ind w:firstLine="640" w:firstLineChars="200"/>
        <w:rPr>
          <w:rFonts w:ascii="仿宋" w:hAnsi="仿宋" w:eastAsia="仿宋" w:cs="宋体"/>
          <w:b/>
          <w:color w:val="auto"/>
          <w:spacing w:val="2"/>
          <w:sz w:val="32"/>
          <w:szCs w:val="32"/>
          <w:highlight w:val="none"/>
        </w:rPr>
      </w:pPr>
      <w:r>
        <w:rPr>
          <w:rFonts w:hint="eastAsia" w:ascii="仿宋" w:hAnsi="仿宋" w:eastAsia="仿宋" w:cs="宋体"/>
          <w:color w:val="auto"/>
          <w:sz w:val="32"/>
          <w:szCs w:val="32"/>
          <w:highlight w:val="none"/>
        </w:rPr>
        <w:t>6.采购需求：根据信息化项目建设管理办法要求，为规范科技信息化项目建设，提高项目管理质量，常州市公安局拟采购监理服务提供第三方技术支持。</w:t>
      </w:r>
    </w:p>
    <w:p w14:paraId="5E2544E2">
      <w:pPr>
        <w:snapToGrid w:val="0"/>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7.合同履行期限：合同签订之日起至监理范围内所有项目通过终验止。</w:t>
      </w:r>
    </w:p>
    <w:p w14:paraId="486CAFF9">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8.</w:t>
      </w:r>
      <w:r>
        <w:rPr>
          <w:rFonts w:hint="eastAsia" w:ascii="仿宋" w:hAnsi="仿宋" w:eastAsia="仿宋" w:cs="宋体"/>
          <w:color w:val="auto"/>
          <w:sz w:val="32"/>
          <w:szCs w:val="32"/>
          <w:highlight w:val="none"/>
        </w:rPr>
        <w:t>本项目</w:t>
      </w:r>
      <w:r>
        <w:rPr>
          <w:rFonts w:hint="eastAsia" w:ascii="仿宋" w:hAnsi="仿宋" w:eastAsia="仿宋" w:cs="宋体"/>
          <w:color w:val="auto"/>
          <w:sz w:val="32"/>
          <w:szCs w:val="32"/>
          <w:highlight w:val="none"/>
          <w:lang w:val="en-US" w:eastAsia="zh-CN"/>
        </w:rPr>
        <w:t>不</w:t>
      </w:r>
      <w:r>
        <w:rPr>
          <w:rFonts w:hint="eastAsia" w:ascii="仿宋" w:hAnsi="仿宋" w:eastAsia="仿宋" w:cs="宋体"/>
          <w:color w:val="auto"/>
          <w:sz w:val="32"/>
          <w:szCs w:val="32"/>
          <w:highlight w:val="none"/>
        </w:rPr>
        <w:t>接受联</w:t>
      </w:r>
      <w:r>
        <w:rPr>
          <w:rFonts w:hint="eastAsia" w:ascii="仿宋" w:hAnsi="仿宋" w:eastAsia="仿宋" w:cs="宋体"/>
          <w:color w:val="auto"/>
          <w:sz w:val="32"/>
          <w:szCs w:val="32"/>
          <w:highlight w:val="none"/>
        </w:rPr>
        <w:t>合体</w:t>
      </w:r>
      <w:r>
        <w:rPr>
          <w:rFonts w:hint="eastAsia" w:ascii="仿宋" w:hAnsi="仿宋" w:eastAsia="仿宋" w:cs="宋体"/>
          <w:color w:val="auto"/>
          <w:sz w:val="32"/>
          <w:szCs w:val="32"/>
          <w:highlight w:val="none"/>
          <w:lang w:eastAsia="zh-CN"/>
        </w:rPr>
        <w:t>。</w:t>
      </w:r>
    </w:p>
    <w:p w14:paraId="112A9116">
      <w:pPr>
        <w:adjustRightInd w:val="0"/>
        <w:spacing w:line="600" w:lineRule="exact"/>
        <w:ind w:firstLine="646" w:firstLineChars="201"/>
        <w:rPr>
          <w:rFonts w:ascii="仿宋" w:hAnsi="仿宋" w:eastAsia="仿宋" w:cs="宋体"/>
          <w:b/>
          <w:color w:val="auto"/>
          <w:kern w:val="0"/>
          <w:sz w:val="32"/>
          <w:szCs w:val="32"/>
          <w:highlight w:val="none"/>
        </w:rPr>
      </w:pPr>
      <w:r>
        <w:rPr>
          <w:rFonts w:hint="eastAsia" w:ascii="仿宋" w:hAnsi="仿宋" w:eastAsia="仿宋" w:cs="宋体"/>
          <w:b/>
          <w:color w:val="auto"/>
          <w:kern w:val="0"/>
          <w:sz w:val="32"/>
          <w:szCs w:val="32"/>
          <w:highlight w:val="none"/>
        </w:rPr>
        <w:t xml:space="preserve">二、申请人的资格要求 </w:t>
      </w:r>
    </w:p>
    <w:p w14:paraId="556A335A">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1.</w:t>
      </w:r>
      <w:r>
        <w:rPr>
          <w:rFonts w:hint="eastAsia" w:ascii="仿宋" w:hAnsi="仿宋" w:eastAsia="仿宋" w:cs="宋体"/>
          <w:color w:val="auto"/>
          <w:sz w:val="32"/>
          <w:szCs w:val="32"/>
          <w:highlight w:val="none"/>
        </w:rPr>
        <w:t>在中华人民共和国境内注册，</w:t>
      </w:r>
      <w:r>
        <w:rPr>
          <w:rFonts w:hint="eastAsia" w:ascii="仿宋" w:hAnsi="仿宋" w:eastAsia="仿宋" w:cs="宋体"/>
          <w:color w:val="auto"/>
          <w:sz w:val="32"/>
          <w:szCs w:val="32"/>
          <w:highlight w:val="none"/>
        </w:rPr>
        <w:t xml:space="preserve">具有独立承担民事责任的能力； </w:t>
      </w:r>
    </w:p>
    <w:p w14:paraId="0A4A36E6">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2.具有良好的商业信誉和健全的财务会计制度； </w:t>
      </w:r>
    </w:p>
    <w:p w14:paraId="6746966F">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3.具有履行合同所必需的设备和专业技术能力； </w:t>
      </w:r>
    </w:p>
    <w:p w14:paraId="2E1E04B5">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4.有依法缴纳税收和社会保障资金的良好记录； </w:t>
      </w:r>
    </w:p>
    <w:p w14:paraId="079937E1">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5.参加采购活动前三年内，在经营活动中没有重大违法记录； </w:t>
      </w:r>
    </w:p>
    <w:p w14:paraId="0D258165">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6.法律、行政法规规定的其他条件；</w:t>
      </w:r>
    </w:p>
    <w:p w14:paraId="190DC00C">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7.单位负责人为同一人或者存在直接控股、管理关系的不同供应商，不得参加同一合同项下的采购活动；</w:t>
      </w:r>
    </w:p>
    <w:p w14:paraId="32BEED15">
      <w:pPr>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8.未被“信用中国”网站（www.creditchina.gov.cn）列入失信被执行人、重大税收违法案件当事人名单、严重失信行为记录</w:t>
      </w:r>
      <w:r>
        <w:rPr>
          <w:rFonts w:hint="eastAsia" w:ascii="仿宋" w:hAnsi="仿宋" w:eastAsia="仿宋" w:cs="宋体"/>
          <w:color w:val="auto"/>
          <w:sz w:val="32"/>
          <w:szCs w:val="32"/>
          <w:highlight w:val="none"/>
        </w:rPr>
        <w:t>名单</w:t>
      </w:r>
      <w:r>
        <w:rPr>
          <w:rFonts w:hint="eastAsia" w:ascii="仿宋" w:hAnsi="仿宋" w:eastAsia="仿宋" w:cs="宋体"/>
          <w:color w:val="auto"/>
          <w:sz w:val="32"/>
          <w:szCs w:val="32"/>
          <w:highlight w:val="none"/>
          <w:lang w:eastAsia="zh-CN"/>
        </w:rPr>
        <w:t>。</w:t>
      </w:r>
    </w:p>
    <w:p w14:paraId="052CBCB3">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三、获取采购文件</w:t>
      </w:r>
    </w:p>
    <w:p w14:paraId="0E01097A">
      <w:pPr>
        <w:spacing w:line="600" w:lineRule="exact"/>
        <w:ind w:firstLine="643" w:firstLineChars="200"/>
        <w:rPr>
          <w:rFonts w:hint="eastAsia" w:ascii="仿宋" w:hAnsi="仿宋" w:eastAsia="仿宋" w:cs="宋体"/>
          <w:b/>
          <w:color w:val="auto"/>
          <w:sz w:val="32"/>
          <w:szCs w:val="32"/>
          <w:highlight w:val="none"/>
          <w:lang w:eastAsia="zh-CN"/>
        </w:rPr>
      </w:pPr>
      <w:r>
        <w:rPr>
          <w:rFonts w:ascii="仿宋" w:hAnsi="仿宋" w:eastAsia="仿宋" w:cs="宋体"/>
          <w:b/>
          <w:color w:val="auto"/>
          <w:sz w:val="32"/>
          <w:szCs w:val="32"/>
          <w:highlight w:val="none"/>
        </w:rPr>
        <w:t>1.时间：</w:t>
      </w:r>
      <w:r>
        <w:rPr>
          <w:rFonts w:hint="eastAsia" w:ascii="仿宋" w:hAnsi="仿宋" w:eastAsia="仿宋" w:cs="宋体"/>
          <w:b/>
          <w:color w:val="auto"/>
          <w:sz w:val="32"/>
          <w:szCs w:val="32"/>
          <w:highlight w:val="none"/>
          <w:lang w:val="en-US" w:eastAsia="zh-CN"/>
        </w:rPr>
        <w:t>2026年</w:t>
      </w:r>
      <w:r>
        <w:rPr>
          <w:rFonts w:hint="eastAsia" w:ascii="仿宋" w:hAnsi="仿宋" w:eastAsia="仿宋" w:cs="宋体"/>
          <w:b/>
          <w:bCs/>
          <w:color w:val="auto"/>
          <w:kern w:val="0"/>
          <w:sz w:val="32"/>
          <w:szCs w:val="32"/>
          <w:highlight w:val="none"/>
          <w:lang w:val="en-US" w:eastAsia="zh-CN"/>
        </w:rPr>
        <w:t>01</w:t>
      </w:r>
      <w:r>
        <w:rPr>
          <w:rFonts w:ascii="仿宋" w:hAnsi="仿宋" w:eastAsia="仿宋" w:cs="宋体"/>
          <w:b/>
          <w:bCs/>
          <w:color w:val="auto"/>
          <w:kern w:val="0"/>
          <w:sz w:val="32"/>
          <w:szCs w:val="32"/>
          <w:highlight w:val="none"/>
        </w:rPr>
        <w:t>月</w:t>
      </w:r>
      <w:r>
        <w:rPr>
          <w:rFonts w:hint="eastAsia" w:ascii="仿宋" w:hAnsi="仿宋" w:eastAsia="仿宋" w:cs="宋体"/>
          <w:b/>
          <w:bCs/>
          <w:color w:val="auto"/>
          <w:kern w:val="0"/>
          <w:sz w:val="32"/>
          <w:szCs w:val="32"/>
          <w:highlight w:val="none"/>
          <w:lang w:val="en-US" w:eastAsia="zh-CN"/>
        </w:rPr>
        <w:t>28</w:t>
      </w:r>
      <w:r>
        <w:rPr>
          <w:rFonts w:ascii="仿宋" w:hAnsi="仿宋" w:eastAsia="仿宋" w:cs="宋体"/>
          <w:b/>
          <w:bCs/>
          <w:color w:val="auto"/>
          <w:kern w:val="0"/>
          <w:sz w:val="32"/>
          <w:szCs w:val="32"/>
          <w:highlight w:val="none"/>
        </w:rPr>
        <w:t>日</w:t>
      </w:r>
      <w:r>
        <w:rPr>
          <w:rFonts w:hint="eastAsia" w:ascii="仿宋" w:hAnsi="仿宋" w:eastAsia="仿宋" w:cs="宋体"/>
          <w:b/>
          <w:bCs/>
          <w:color w:val="auto"/>
          <w:kern w:val="0"/>
          <w:sz w:val="32"/>
          <w:szCs w:val="32"/>
          <w:highlight w:val="none"/>
          <w:lang w:val="en-US" w:eastAsia="zh-CN"/>
        </w:rPr>
        <w:t>起</w:t>
      </w:r>
    </w:p>
    <w:p w14:paraId="360B7EAB">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2.地点：常州市城投建设工程招标有限公司网站 </w:t>
      </w:r>
    </w:p>
    <w:p w14:paraId="2FCF0C61">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3.方式：</w:t>
      </w:r>
      <w:r>
        <w:rPr>
          <w:rFonts w:hint="eastAsia" w:ascii="仿宋" w:hAnsi="仿宋" w:eastAsia="仿宋" w:cs="宋体"/>
          <w:color w:val="auto"/>
          <w:sz w:val="32"/>
          <w:szCs w:val="32"/>
          <w:highlight w:val="none"/>
        </w:rPr>
        <w:t>直接下载，链接如下：</w:t>
      </w:r>
      <w:r>
        <w:rPr>
          <w:rFonts w:hint="eastAsia" w:ascii="仿宋" w:hAnsi="仿宋" w:eastAsia="仿宋" w:cs="宋体"/>
          <w:bCs/>
          <w:color w:val="auto"/>
          <w:sz w:val="32"/>
          <w:szCs w:val="32"/>
          <w:highlight w:val="none"/>
        </w:rPr>
        <w:t xml:space="preserve"> </w:t>
      </w:r>
    </w:p>
    <w:p w14:paraId="73D4124B">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四、响应文件提交</w:t>
      </w:r>
    </w:p>
    <w:p w14:paraId="57B849D6">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截止时间：</w:t>
      </w:r>
      <w:r>
        <w:rPr>
          <w:rFonts w:hint="eastAsia" w:ascii="仿宋" w:hAnsi="仿宋" w:eastAsia="仿宋" w:cs="宋体"/>
          <w:color w:val="auto"/>
          <w:sz w:val="32"/>
          <w:szCs w:val="32"/>
          <w:highlight w:val="none"/>
          <w:lang w:val="en-US" w:eastAsia="zh-CN"/>
        </w:rPr>
        <w:t>2026年02月09日14点30分</w:t>
      </w:r>
      <w:r>
        <w:rPr>
          <w:rFonts w:hint="eastAsia" w:ascii="仿宋" w:hAnsi="仿宋" w:eastAsia="仿宋" w:cs="宋体"/>
          <w:color w:val="auto"/>
          <w:sz w:val="32"/>
          <w:szCs w:val="32"/>
          <w:highlight w:val="none"/>
        </w:rPr>
        <w:t>（北京时间）</w:t>
      </w:r>
    </w:p>
    <w:p w14:paraId="403EE26D">
      <w:pPr>
        <w:spacing w:line="600" w:lineRule="exact"/>
        <w:ind w:firstLine="640" w:firstLineChars="200"/>
        <w:rPr>
          <w:rFonts w:ascii="仿宋" w:hAnsi="仿宋" w:eastAsia="仿宋" w:cs="宋体"/>
          <w:bCs/>
          <w:color w:val="auto"/>
          <w:sz w:val="32"/>
          <w:szCs w:val="32"/>
          <w:highlight w:val="none"/>
        </w:rPr>
      </w:pPr>
      <w:r>
        <w:rPr>
          <w:rFonts w:hint="eastAsia" w:ascii="仿宋" w:hAnsi="仿宋" w:eastAsia="仿宋" w:cs="宋体"/>
          <w:color w:val="auto"/>
          <w:sz w:val="32"/>
          <w:szCs w:val="32"/>
          <w:highlight w:val="none"/>
        </w:rPr>
        <w:t>地点：常州市城投建设工程招标有限公司（常州市新北区通江中路396号中创大厦4楼）</w:t>
      </w:r>
    </w:p>
    <w:p w14:paraId="24713775">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五、开启</w:t>
      </w:r>
    </w:p>
    <w:p w14:paraId="00E925E3">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时间：</w:t>
      </w:r>
      <w:r>
        <w:rPr>
          <w:rFonts w:hint="eastAsia" w:ascii="仿宋" w:hAnsi="仿宋" w:eastAsia="仿宋" w:cs="宋体"/>
          <w:color w:val="auto"/>
          <w:sz w:val="32"/>
          <w:szCs w:val="32"/>
          <w:highlight w:val="none"/>
          <w:lang w:val="en-US" w:eastAsia="zh-CN"/>
        </w:rPr>
        <w:t>2026年02月09日14点30分</w:t>
      </w:r>
      <w:r>
        <w:rPr>
          <w:rFonts w:hint="eastAsia" w:ascii="仿宋" w:hAnsi="仿宋" w:eastAsia="仿宋" w:cs="宋体"/>
          <w:color w:val="auto"/>
          <w:sz w:val="32"/>
          <w:szCs w:val="32"/>
          <w:highlight w:val="none"/>
        </w:rPr>
        <w:t>（北京时间）</w:t>
      </w:r>
    </w:p>
    <w:p w14:paraId="5749C9B4">
      <w:pPr>
        <w:spacing w:line="600" w:lineRule="exact"/>
        <w:ind w:firstLine="640" w:firstLineChars="200"/>
        <w:rPr>
          <w:rFonts w:ascii="仿宋" w:hAnsi="仿宋" w:eastAsia="仿宋" w:cs="宋体"/>
          <w:bCs/>
          <w:color w:val="auto"/>
          <w:sz w:val="32"/>
          <w:szCs w:val="32"/>
          <w:highlight w:val="none"/>
        </w:rPr>
      </w:pPr>
      <w:r>
        <w:rPr>
          <w:rFonts w:hint="eastAsia" w:ascii="仿宋" w:hAnsi="仿宋" w:eastAsia="仿宋" w:cs="宋体"/>
          <w:color w:val="auto"/>
          <w:sz w:val="32"/>
          <w:szCs w:val="32"/>
          <w:highlight w:val="none"/>
        </w:rPr>
        <w:t>地点：常州市城投建设工程招标有限公司（常州市新北区通江中路396号中创大厦4楼）</w:t>
      </w:r>
    </w:p>
    <w:p w14:paraId="38FCB851">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六、公告期限</w:t>
      </w:r>
    </w:p>
    <w:p w14:paraId="397F74CB">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自本公告发布之日起3</w:t>
      </w:r>
      <w:r>
        <w:rPr>
          <w:rFonts w:ascii="仿宋" w:hAnsi="仿宋" w:eastAsia="仿宋" w:cs="宋体"/>
          <w:color w:val="auto"/>
          <w:sz w:val="32"/>
          <w:szCs w:val="32"/>
          <w:highlight w:val="none"/>
        </w:rPr>
        <w:t>个工作日</w:t>
      </w:r>
      <w:r>
        <w:rPr>
          <w:rFonts w:hint="eastAsia" w:ascii="仿宋" w:hAnsi="仿宋" w:eastAsia="仿宋" w:cs="宋体"/>
          <w:color w:val="auto"/>
          <w:sz w:val="32"/>
          <w:szCs w:val="32"/>
          <w:highlight w:val="none"/>
        </w:rPr>
        <w:t>。</w:t>
      </w:r>
    </w:p>
    <w:p w14:paraId="59D44A9D">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七、其他补充事宜</w:t>
      </w:r>
    </w:p>
    <w:p w14:paraId="39FE7432">
      <w:pPr>
        <w:spacing w:line="600" w:lineRule="exact"/>
        <w:ind w:firstLine="640" w:firstLineChars="200"/>
        <w:rPr>
          <w:rFonts w:ascii="仿宋" w:hAnsi="仿宋" w:eastAsia="仿宋" w:cs="宋体"/>
          <w:bCs/>
          <w:color w:val="auto"/>
          <w:sz w:val="32"/>
          <w:szCs w:val="32"/>
          <w:highlight w:val="none"/>
        </w:rPr>
      </w:pPr>
      <w:r>
        <w:rPr>
          <w:rFonts w:hint="eastAsia" w:ascii="仿宋" w:hAnsi="仿宋" w:eastAsia="仿宋" w:cs="宋体"/>
          <w:bCs/>
          <w:color w:val="auto"/>
          <w:sz w:val="32"/>
          <w:szCs w:val="32"/>
          <w:highlight w:val="none"/>
          <w:lang w:val="en-US" w:eastAsia="zh-CN"/>
        </w:rPr>
        <w:t>1.</w:t>
      </w:r>
      <w:r>
        <w:rPr>
          <w:rFonts w:hint="eastAsia" w:ascii="仿宋" w:hAnsi="仿宋" w:eastAsia="仿宋"/>
          <w:bCs/>
          <w:color w:val="auto"/>
          <w:sz w:val="32"/>
          <w:szCs w:val="32"/>
          <w:highlight w:val="none"/>
        </w:rPr>
        <w:t>本项</w:t>
      </w:r>
      <w:r>
        <w:rPr>
          <w:rFonts w:hint="eastAsia" w:ascii="仿宋" w:hAnsi="仿宋" w:eastAsia="仿宋"/>
          <w:bCs/>
          <w:color w:val="auto"/>
          <w:sz w:val="32"/>
          <w:szCs w:val="32"/>
          <w:highlight w:val="none"/>
        </w:rPr>
        <w:t>目不组织现场踏勘，供应商自行踏勘现场</w:t>
      </w:r>
      <w:r>
        <w:rPr>
          <w:rFonts w:hint="eastAsia" w:ascii="仿宋" w:hAnsi="仿宋" w:eastAsia="仿宋" w:cs="宋体"/>
          <w:bCs/>
          <w:color w:val="auto"/>
          <w:sz w:val="32"/>
          <w:szCs w:val="32"/>
          <w:highlight w:val="none"/>
        </w:rPr>
        <w:t>。</w:t>
      </w:r>
    </w:p>
    <w:p w14:paraId="3F80A86A">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bCs/>
          <w:color w:val="auto"/>
          <w:sz w:val="32"/>
          <w:szCs w:val="32"/>
          <w:highlight w:val="none"/>
          <w:lang w:val="en-US" w:eastAsia="zh-CN"/>
        </w:rPr>
        <w:t>2.</w:t>
      </w:r>
      <w:r>
        <w:rPr>
          <w:rFonts w:hint="eastAsia" w:ascii="仿宋" w:hAnsi="仿宋" w:eastAsia="仿宋" w:cs="宋体"/>
          <w:color w:val="auto"/>
          <w:sz w:val="32"/>
          <w:szCs w:val="32"/>
          <w:highlight w:val="none"/>
        </w:rPr>
        <w:t>标前答疑</w:t>
      </w:r>
    </w:p>
    <w:p w14:paraId="2EC95C1E">
      <w:pPr>
        <w:spacing w:line="600" w:lineRule="exact"/>
        <w:ind w:firstLine="640" w:firstLineChars="200"/>
        <w:rPr>
          <w:rFonts w:hint="eastAsia" w:ascii="仿宋" w:hAnsi="仿宋" w:eastAsia="仿宋" w:cs="宋体"/>
          <w:color w:val="auto"/>
          <w:sz w:val="32"/>
          <w:szCs w:val="32"/>
          <w:highlight w:val="none"/>
          <w:u w:val="none"/>
          <w:lang w:eastAsia="zh-CN"/>
        </w:rPr>
      </w:pPr>
      <w:r>
        <w:rPr>
          <w:rFonts w:hint="eastAsia" w:ascii="仿宋" w:hAnsi="仿宋" w:eastAsia="仿宋" w:cs="宋体"/>
          <w:color w:val="auto"/>
          <w:sz w:val="32"/>
          <w:szCs w:val="32"/>
          <w:highlight w:val="none"/>
        </w:rPr>
        <w:t>供应商对竞争性磋商文件如有疑问，请将疑问于</w:t>
      </w:r>
      <w:r>
        <w:rPr>
          <w:rFonts w:hint="eastAsia" w:ascii="仿宋" w:hAnsi="仿宋" w:eastAsia="仿宋" w:cs="宋体"/>
          <w:color w:val="auto"/>
          <w:sz w:val="32"/>
          <w:szCs w:val="32"/>
          <w:highlight w:val="none"/>
          <w:lang w:val="en-US" w:eastAsia="zh-CN"/>
        </w:rPr>
        <w:t>2026年</w:t>
      </w:r>
      <w:r>
        <w:rPr>
          <w:rFonts w:hint="eastAsia" w:ascii="仿宋" w:hAnsi="仿宋" w:eastAsia="仿宋" w:cs="宋体"/>
          <w:b/>
          <w:bCs/>
          <w:color w:val="auto"/>
          <w:kern w:val="0"/>
          <w:sz w:val="32"/>
          <w:szCs w:val="32"/>
          <w:highlight w:val="none"/>
          <w:lang w:val="en-US" w:eastAsia="zh-CN"/>
        </w:rPr>
        <w:t>02</w:t>
      </w:r>
      <w:r>
        <w:rPr>
          <w:rFonts w:hint="eastAsia" w:ascii="仿宋" w:hAnsi="仿宋" w:eastAsia="仿宋" w:cs="宋体"/>
          <w:b/>
          <w:bCs/>
          <w:color w:val="auto"/>
          <w:kern w:val="0"/>
          <w:sz w:val="32"/>
          <w:szCs w:val="32"/>
          <w:highlight w:val="none"/>
        </w:rPr>
        <w:t>月</w:t>
      </w:r>
      <w:r>
        <w:rPr>
          <w:rFonts w:hint="eastAsia" w:ascii="仿宋" w:hAnsi="仿宋" w:eastAsia="仿宋" w:cs="宋体"/>
          <w:b/>
          <w:bCs/>
          <w:color w:val="auto"/>
          <w:kern w:val="0"/>
          <w:sz w:val="32"/>
          <w:szCs w:val="32"/>
          <w:highlight w:val="none"/>
          <w:lang w:val="en-US" w:eastAsia="zh-CN"/>
        </w:rPr>
        <w:t>03</w:t>
      </w:r>
      <w:r>
        <w:rPr>
          <w:rFonts w:hint="eastAsia" w:ascii="仿宋" w:hAnsi="仿宋" w:eastAsia="仿宋" w:cs="宋体"/>
          <w:b/>
          <w:bCs/>
          <w:color w:val="auto"/>
          <w:kern w:val="0"/>
          <w:sz w:val="32"/>
          <w:szCs w:val="32"/>
          <w:highlight w:val="none"/>
        </w:rPr>
        <w:t>日</w:t>
      </w:r>
      <w:r>
        <w:rPr>
          <w:rFonts w:ascii="仿宋" w:hAnsi="仿宋" w:eastAsia="仿宋" w:cs="宋体"/>
          <w:b/>
          <w:bCs/>
          <w:color w:val="auto"/>
          <w:kern w:val="0"/>
          <w:sz w:val="32"/>
          <w:szCs w:val="32"/>
          <w:highlight w:val="none"/>
        </w:rPr>
        <w:t>11</w:t>
      </w:r>
      <w:r>
        <w:rPr>
          <w:rFonts w:hint="eastAsia" w:ascii="仿宋" w:hAnsi="仿宋" w:eastAsia="仿宋" w:cs="宋体"/>
          <w:b/>
          <w:color w:val="auto"/>
          <w:sz w:val="32"/>
          <w:szCs w:val="32"/>
          <w:highlight w:val="none"/>
        </w:rPr>
        <w:t>点</w:t>
      </w:r>
      <w:r>
        <w:rPr>
          <w:rFonts w:ascii="仿宋" w:hAnsi="仿宋" w:eastAsia="仿宋" w:cs="宋体"/>
          <w:b/>
          <w:color w:val="auto"/>
          <w:sz w:val="32"/>
          <w:szCs w:val="32"/>
          <w:highlight w:val="none"/>
        </w:rPr>
        <w:t>00分</w:t>
      </w:r>
      <w:r>
        <w:rPr>
          <w:rFonts w:hint="eastAsia" w:ascii="仿宋" w:hAnsi="仿宋" w:eastAsia="仿宋" w:cs="宋体"/>
          <w:b/>
          <w:color w:val="auto"/>
          <w:sz w:val="32"/>
          <w:szCs w:val="32"/>
          <w:highlight w:val="none"/>
        </w:rPr>
        <w:t>（北京时间）</w:t>
      </w:r>
      <w:r>
        <w:rPr>
          <w:rFonts w:hint="eastAsia" w:ascii="仿宋" w:hAnsi="仿宋" w:eastAsia="仿宋" w:cs="宋体"/>
          <w:color w:val="auto"/>
          <w:sz w:val="32"/>
          <w:szCs w:val="32"/>
          <w:highlight w:val="none"/>
        </w:rPr>
        <w:t>前以书面形式提交或传真至常州市城投建设工程招标有限公司。传真：0519-81580105；邮箱：</w:t>
      </w:r>
      <w:r>
        <w:rPr>
          <w:rFonts w:hint="eastAsia" w:ascii="仿宋" w:hAnsi="仿宋" w:eastAsia="仿宋" w:cs="宋体"/>
          <w:color w:val="auto"/>
          <w:sz w:val="32"/>
          <w:szCs w:val="32"/>
          <w:highlight w:val="none"/>
          <w:u w:val="none"/>
        </w:rPr>
        <w:t>czctzb@163.com</w:t>
      </w:r>
      <w:r>
        <w:rPr>
          <w:rFonts w:hint="eastAsia" w:ascii="仿宋" w:hAnsi="仿宋" w:eastAsia="仿宋" w:cs="宋体"/>
          <w:color w:val="auto"/>
          <w:sz w:val="32"/>
          <w:szCs w:val="32"/>
          <w:highlight w:val="none"/>
          <w:u w:val="none"/>
          <w:lang w:eastAsia="zh-CN"/>
        </w:rPr>
        <w:t>。</w:t>
      </w:r>
    </w:p>
    <w:p w14:paraId="7A94DE9D">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lang w:val="en-US" w:eastAsia="zh-CN"/>
        </w:rPr>
        <w:t>3</w:t>
      </w:r>
      <w:r>
        <w:rPr>
          <w:rFonts w:hint="eastAsia" w:ascii="仿宋" w:hAnsi="仿宋" w:eastAsia="仿宋" w:cs="宋体"/>
          <w:color w:val="auto"/>
          <w:sz w:val="32"/>
          <w:szCs w:val="32"/>
          <w:highlight w:val="none"/>
        </w:rPr>
        <w:t>.磋商保证金</w:t>
      </w:r>
    </w:p>
    <w:p w14:paraId="6C0CFF0B">
      <w:pPr>
        <w:spacing w:line="600" w:lineRule="exact"/>
        <w:ind w:firstLine="640" w:firstLineChars="200"/>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rPr>
        <w:t>（1）磋商保证金数额：</w:t>
      </w:r>
      <w:r>
        <w:rPr>
          <w:rFonts w:hint="eastAsia" w:ascii="仿宋" w:hAnsi="仿宋" w:eastAsia="仿宋" w:cs="宋体"/>
          <w:b/>
          <w:bCs/>
          <w:color w:val="auto"/>
          <w:sz w:val="32"/>
          <w:szCs w:val="32"/>
          <w:highlight w:val="none"/>
        </w:rPr>
        <w:t>人民币</w:t>
      </w:r>
      <w:r>
        <w:rPr>
          <w:rFonts w:hint="eastAsia" w:ascii="仿宋" w:hAnsi="仿宋" w:eastAsia="仿宋" w:cs="宋体"/>
          <w:b/>
          <w:bCs/>
          <w:color w:val="auto"/>
          <w:sz w:val="32"/>
          <w:szCs w:val="32"/>
          <w:highlight w:val="none"/>
          <w:lang w:val="en-US" w:eastAsia="zh-CN"/>
        </w:rPr>
        <w:t>叁仟伍佰元整</w:t>
      </w:r>
    </w:p>
    <w:p w14:paraId="67C9635D">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（2）磋商保证金专用账户</w:t>
      </w:r>
    </w:p>
    <w:p w14:paraId="739BA9AF">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收款单位：常州市城投建设工程招标有限公司</w:t>
      </w:r>
    </w:p>
    <w:p w14:paraId="15249BFA">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开户银行：中国民生银行新北支行</w:t>
      </w:r>
    </w:p>
    <w:p w14:paraId="5BA9C380">
      <w:pPr>
        <w:spacing w:line="600" w:lineRule="exact"/>
        <w:ind w:firstLine="640" w:firstLineChars="200"/>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rPr>
        <w:t>银行账号：</w:t>
      </w:r>
      <w:r>
        <w:rPr>
          <w:rFonts w:hint="eastAsia" w:ascii="仿宋" w:hAnsi="仿宋" w:eastAsia="仿宋" w:cs="宋体"/>
          <w:b/>
          <w:bCs/>
          <w:color w:val="auto"/>
          <w:sz w:val="32"/>
          <w:szCs w:val="32"/>
          <w:highlight w:val="none"/>
          <w:lang w:val="en-US" w:eastAsia="zh-CN"/>
        </w:rPr>
        <w:t>9902001839341607</w:t>
      </w:r>
    </w:p>
    <w:p w14:paraId="4095E7F0">
      <w:pPr>
        <w:spacing w:line="600" w:lineRule="exact"/>
        <w:ind w:firstLine="640" w:firstLineChars="200"/>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rPr>
        <w:t>（3）磋商保证金到账截止时间：</w:t>
      </w:r>
      <w:r>
        <w:rPr>
          <w:rFonts w:hint="eastAsia" w:ascii="仿宋" w:hAnsi="仿宋" w:eastAsia="仿宋" w:cs="宋体"/>
          <w:b/>
          <w:color w:val="auto"/>
          <w:sz w:val="32"/>
          <w:szCs w:val="32"/>
          <w:highlight w:val="none"/>
        </w:rPr>
        <w:t>同磋商响应文件提交截止时间</w:t>
      </w:r>
    </w:p>
    <w:p w14:paraId="1010F326">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（4）磋商保证金交纳方式：银行电汇或转账（备注项目编号）</w:t>
      </w:r>
    </w:p>
    <w:p w14:paraId="4DAA16B3">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（5）供应商必须自行将磋商保证金从公司账户按规定方式和时间缴至常州市城投建设工程招标有限公司</w:t>
      </w:r>
      <w:r>
        <w:rPr>
          <w:rFonts w:hint="eastAsia" w:ascii="仿宋" w:hAnsi="仿宋" w:eastAsia="仿宋" w:cs="宋体"/>
          <w:color w:val="auto"/>
          <w:sz w:val="32"/>
          <w:szCs w:val="32"/>
          <w:highlight w:val="none"/>
          <w:lang w:val="en-US" w:eastAsia="zh-CN"/>
        </w:rPr>
        <w:t>磋商</w:t>
      </w:r>
      <w:r>
        <w:rPr>
          <w:rFonts w:hint="eastAsia" w:ascii="仿宋" w:hAnsi="仿宋" w:eastAsia="仿宋" w:cs="宋体"/>
          <w:color w:val="auto"/>
          <w:sz w:val="32"/>
          <w:szCs w:val="32"/>
          <w:highlight w:val="none"/>
        </w:rPr>
        <w:t>保证金专用账户并到账，拒绝以其它方式缴纳，禁止第三方代缴保证金，否则将被视为无效响应，其磋商响应文件将被拒绝</w:t>
      </w:r>
    </w:p>
    <w:p w14:paraId="50CBAA60">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八、凡对本次采购提出询问，请按以下方式联系。</w:t>
      </w:r>
    </w:p>
    <w:p w14:paraId="34EA4721">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1.采购人信息</w:t>
      </w:r>
    </w:p>
    <w:p w14:paraId="454232B9">
      <w:pPr>
        <w:snapToGrid w:val="0"/>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名    称：</w:t>
      </w:r>
      <w:r>
        <w:rPr>
          <w:rFonts w:hint="eastAsia" w:ascii="仿宋" w:hAnsi="仿宋" w:eastAsia="仿宋"/>
          <w:color w:val="auto"/>
          <w:sz w:val="32"/>
          <w:szCs w:val="32"/>
          <w:highlight w:val="none"/>
          <w:lang w:eastAsia="zh-CN"/>
        </w:rPr>
        <w:t>常州市公安局</w:t>
      </w:r>
    </w:p>
    <w:p w14:paraId="1C154EA6">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地    址：</w:t>
      </w:r>
      <w:r>
        <w:rPr>
          <w:rFonts w:hint="eastAsia" w:ascii="仿宋" w:hAnsi="仿宋" w:eastAsia="仿宋"/>
          <w:color w:val="auto"/>
          <w:sz w:val="32"/>
          <w:szCs w:val="32"/>
          <w:highlight w:val="none"/>
        </w:rPr>
        <w:t>常州市新北区龙锦路1588号</w:t>
      </w:r>
    </w:p>
    <w:p w14:paraId="19232AE3">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联系方式：</w:t>
      </w:r>
      <w:r>
        <w:rPr>
          <w:rFonts w:hint="eastAsia" w:ascii="仿宋" w:hAnsi="仿宋" w:eastAsia="仿宋"/>
          <w:color w:val="auto"/>
          <w:sz w:val="32"/>
          <w:szCs w:val="32"/>
          <w:highlight w:val="none"/>
        </w:rPr>
        <w:t>邵俊  0519-81993183</w:t>
      </w:r>
    </w:p>
    <w:p w14:paraId="40211828">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2.采购代理机构信息</w:t>
      </w:r>
    </w:p>
    <w:p w14:paraId="50BC054B">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名    称：常州市城投建设工程招标有限公司</w:t>
      </w:r>
    </w:p>
    <w:p w14:paraId="425DE820">
      <w:pPr>
        <w:spacing w:line="600" w:lineRule="exact"/>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sz w:val="32"/>
          <w:szCs w:val="32"/>
          <w:highlight w:val="none"/>
        </w:rPr>
        <w:t>地　　址：</w:t>
      </w:r>
      <w:r>
        <w:rPr>
          <w:rFonts w:hint="eastAsia" w:ascii="仿宋" w:hAnsi="仿宋" w:eastAsia="仿宋" w:cs="宋体"/>
          <w:color w:val="auto"/>
          <w:kern w:val="0"/>
          <w:sz w:val="32"/>
          <w:szCs w:val="32"/>
          <w:highlight w:val="none"/>
        </w:rPr>
        <w:t>常州市新北区通江中路396号中创大厦4楼</w:t>
      </w:r>
    </w:p>
    <w:p w14:paraId="4029CB8F">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联系方式：0519-81580101</w:t>
      </w:r>
    </w:p>
    <w:p w14:paraId="50DE95AC">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3.项目联系方式</w:t>
      </w:r>
    </w:p>
    <w:p w14:paraId="53144AE5">
      <w:pPr>
        <w:spacing w:line="600" w:lineRule="exact"/>
        <w:ind w:firstLine="640" w:firstLineChars="200"/>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rPr>
        <w:t>项目联系人：</w:t>
      </w:r>
      <w:r>
        <w:rPr>
          <w:rFonts w:hint="eastAsia" w:ascii="仿宋" w:hAnsi="仿宋" w:eastAsia="仿宋" w:cs="宋体"/>
          <w:color w:val="auto"/>
          <w:sz w:val="32"/>
          <w:szCs w:val="32"/>
          <w:highlight w:val="none"/>
          <w:lang w:val="en-US" w:eastAsia="zh-CN"/>
        </w:rPr>
        <w:t>丁洁</w:t>
      </w:r>
    </w:p>
    <w:p w14:paraId="36F920F6">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电　　  话：0519-81580152  81580191  81580192（转分机号</w:t>
      </w:r>
      <w:r>
        <w:rPr>
          <w:rFonts w:hint="eastAsia" w:ascii="仿宋" w:hAnsi="仿宋" w:eastAsia="仿宋" w:cs="宋体"/>
          <w:color w:val="auto"/>
          <w:sz w:val="32"/>
          <w:szCs w:val="32"/>
          <w:highlight w:val="none"/>
          <w:lang w:val="en-US" w:eastAsia="zh-CN"/>
        </w:rPr>
        <w:t>6031</w:t>
      </w:r>
      <w:r>
        <w:rPr>
          <w:rFonts w:hint="eastAsia" w:ascii="仿宋" w:hAnsi="仿宋" w:eastAsia="仿宋" w:cs="宋体"/>
          <w:color w:val="auto"/>
          <w:sz w:val="32"/>
          <w:szCs w:val="32"/>
          <w:highlight w:val="none"/>
        </w:rPr>
        <w:t>）　</w:t>
      </w:r>
      <w:bookmarkEnd w:id="15"/>
    </w:p>
    <w:p w14:paraId="19F17C09">
      <w:pPr>
        <w:jc w:val="center"/>
        <w:rPr>
          <w:rFonts w:ascii="宋体" w:hAnsi="宋体" w:cs="宋体"/>
          <w:b/>
          <w:color w:val="auto"/>
          <w:sz w:val="44"/>
          <w:szCs w:val="44"/>
          <w:highlight w:val="none"/>
        </w:rPr>
      </w:pPr>
      <w:r>
        <w:rPr>
          <w:rFonts w:hint="eastAsia" w:ascii="宋体" w:hAnsi="宋体" w:cs="宋体"/>
          <w:b/>
          <w:color w:val="auto"/>
          <w:sz w:val="44"/>
          <w:szCs w:val="44"/>
          <w:highlight w:val="none"/>
        </w:rPr>
        <w:br w:type="page"/>
      </w:r>
    </w:p>
    <w:p w14:paraId="7CC9DEBC">
      <w:pPr>
        <w:pStyle w:val="2"/>
        <w:rPr>
          <w:rFonts w:ascii="宋体" w:hAnsi="宋体" w:cs="宋体"/>
          <w:color w:val="auto"/>
          <w:highlight w:val="none"/>
        </w:rPr>
      </w:pPr>
      <w:bookmarkStart w:id="1" w:name="_Toc17537927"/>
      <w:r>
        <w:rPr>
          <w:rFonts w:hint="eastAsia" w:ascii="宋体" w:hAnsi="宋体" w:cs="宋体"/>
          <w:color w:val="auto"/>
          <w:highlight w:val="none"/>
        </w:rPr>
        <w:t>第一章    总     则</w:t>
      </w:r>
      <w:bookmarkEnd w:id="1"/>
    </w:p>
    <w:p w14:paraId="18EF53CD">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1.采购方式</w:t>
      </w:r>
    </w:p>
    <w:p w14:paraId="2CBAD47B">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本项目采用竞争性磋商方式，本磋商文件仅适用于磋商公告中所述项目。</w:t>
      </w:r>
    </w:p>
    <w:p w14:paraId="2469C234">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2.合格的供应商</w:t>
      </w:r>
    </w:p>
    <w:p w14:paraId="25557717">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2.1 满足公告中供应商的资格要求的规定。</w:t>
      </w:r>
    </w:p>
    <w:p w14:paraId="5572A6F0">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2.2 满足本文件实质性条款的规定。</w:t>
      </w:r>
    </w:p>
    <w:p w14:paraId="2F294813">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3.磋商费用</w:t>
      </w:r>
    </w:p>
    <w:p w14:paraId="08A232B2">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参加磋商供应商应自行承担所有与参加磋商有关的费用。无论最终成交结果如何，采购代理机构在任何情况下均无义务和责任承担这些费用。</w:t>
      </w:r>
    </w:p>
    <w:p w14:paraId="2A9ABF1B">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4.磋商文件的组成</w:t>
      </w:r>
    </w:p>
    <w:p w14:paraId="54F0DF2B">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本文件及依法对本文件所作的更正内容均为磋商文件的组成部分。</w:t>
      </w:r>
    </w:p>
    <w:p w14:paraId="52A10548">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供应商应仔细检查磋商文件是否齐全，如有缺漏，立即与代理机构联系解决。</w:t>
      </w:r>
    </w:p>
    <w:p w14:paraId="355F2B25">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供应商应认真阅读磋商文件中所有的事项、格式、条款和规范等要求。按磋商文件要求和规定编制磋商响应文件，并保证所提供的全部资料的真实性，以使其磋商响应文件对磋商文件作出实质性响应，否则其风险由供应商自行承担。</w:t>
      </w:r>
    </w:p>
    <w:p w14:paraId="00A9CDC6">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供应商一旦参加本项目采购活动，即被认为接受了本磋商文件的规定和约束。</w:t>
      </w:r>
    </w:p>
    <w:p w14:paraId="651BDCB5">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5.磋商文件的补充、澄清、更正</w:t>
      </w:r>
    </w:p>
    <w:p w14:paraId="3128E771">
      <w:pPr>
        <w:spacing w:line="36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5.1 代理机构向供应商提供的有关资料和数据，是代理机构现有的能使供应商利用的资料。代理机构对供应商由此而作出的推论、理解和结论概不负责。供应商由于对竞争性磋商文件的任何推论和误解以及采购人对有关问题的口头解释所造成的后果，均由供应商自负。</w:t>
      </w:r>
    </w:p>
    <w:p w14:paraId="21A59DA7">
      <w:pPr>
        <w:spacing w:line="360" w:lineRule="exact"/>
        <w:ind w:firstLine="420" w:firstLineChars="200"/>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Cs/>
          <w:color w:val="auto"/>
          <w:szCs w:val="21"/>
          <w:highlight w:val="none"/>
        </w:rPr>
        <w:t>5.2 供应商提出的与磋商有关的任何问题须在收到竞争性磋商文件后，按规定时间以书面形式提交至采购代理机构，未以书面形式提出或逾期提出的异议将不被接受。</w:t>
      </w:r>
      <w:r>
        <w:rPr>
          <w:rFonts w:hint="eastAsia" w:cs="宋体" w:asciiTheme="minorEastAsia" w:hAnsiTheme="minorEastAsia" w:eastAsiaTheme="minorEastAsia"/>
          <w:color w:val="auto"/>
          <w:szCs w:val="21"/>
          <w:highlight w:val="none"/>
        </w:rPr>
        <w:t>如无疑问，视作供应商完全响应竞争性磋商文件的条款和要求。</w:t>
      </w:r>
    </w:p>
    <w:p w14:paraId="4CEC05A4">
      <w:pPr>
        <w:spacing w:line="36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5.3 采购人及代理机构有权对已发出的竞争性磋商文件进行必要的澄清或更正。</w:t>
      </w:r>
    </w:p>
    <w:p w14:paraId="2774E8E6">
      <w:pPr>
        <w:spacing w:line="36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5.4 采购人可视具体情况，延长磋商响应文件提交截止时间和磋商时间。</w:t>
      </w:r>
    </w:p>
    <w:p w14:paraId="47D7CBE3">
      <w:pPr>
        <w:spacing w:line="360" w:lineRule="exact"/>
        <w:ind w:firstLine="422" w:firstLineChars="200"/>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5.5 所有有关</w:t>
      </w:r>
      <w:r>
        <w:rPr>
          <w:rFonts w:hint="eastAsia" w:cs="宋体" w:asciiTheme="minorEastAsia" w:hAnsiTheme="minorEastAsia" w:eastAsiaTheme="minorEastAsia"/>
          <w:b/>
          <w:color w:val="auto"/>
          <w:szCs w:val="21"/>
          <w:highlight w:val="none"/>
        </w:rPr>
        <w:t>竞争性磋商文件的补充、澄清、更正将在</w:t>
      </w:r>
      <w:r>
        <w:rPr>
          <w:rFonts w:hint="eastAsia" w:asciiTheme="minorEastAsia" w:hAnsiTheme="minorEastAsia" w:eastAsiaTheme="minorEastAsia"/>
          <w:b/>
          <w:color w:val="auto"/>
          <w:szCs w:val="21"/>
          <w:highlight w:val="none"/>
        </w:rPr>
        <w:t>原公告</w:t>
      </w:r>
      <w:r>
        <w:rPr>
          <w:rFonts w:asciiTheme="minorEastAsia" w:hAnsiTheme="minorEastAsia" w:eastAsiaTheme="minorEastAsia"/>
          <w:b/>
          <w:color w:val="auto"/>
          <w:szCs w:val="21"/>
          <w:highlight w:val="none"/>
        </w:rPr>
        <w:t>媒体上</w:t>
      </w:r>
      <w:r>
        <w:rPr>
          <w:rFonts w:hint="eastAsia" w:asciiTheme="minorEastAsia" w:hAnsiTheme="minorEastAsia" w:eastAsiaTheme="minorEastAsia"/>
          <w:b/>
          <w:color w:val="auto"/>
          <w:szCs w:val="21"/>
          <w:highlight w:val="none"/>
        </w:rPr>
        <w:t>予以公告</w:t>
      </w:r>
      <w:r>
        <w:rPr>
          <w:rFonts w:hint="eastAsia" w:cs="宋体" w:asciiTheme="minorEastAsia" w:hAnsiTheme="minorEastAsia" w:eastAsiaTheme="minorEastAsia"/>
          <w:b/>
          <w:color w:val="auto"/>
          <w:szCs w:val="21"/>
          <w:highlight w:val="none"/>
        </w:rPr>
        <w:t>。上述内容将作为竞争性磋商文件的组成部分，并对供应商具有约束力，由供应商自行关注并获取。</w:t>
      </w:r>
    </w:p>
    <w:p w14:paraId="0807ADF6">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6.供应商的义务</w:t>
      </w:r>
    </w:p>
    <w:p w14:paraId="5BD166E8">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6.1 供应商应当认真阅读竞争性磋商文件，完全明了采购项目的内容。</w:t>
      </w:r>
    </w:p>
    <w:p w14:paraId="7061DB16">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6.2 供应商应当按照竞争性磋商文件的要求编制磋商响应文件。磋商响应文件应对竞争性磋商文件提出的实质性要求和条件作出完全响应。</w:t>
      </w:r>
    </w:p>
    <w:p w14:paraId="678C413B">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6.3 供应商应在磋商响应文件提交截止时间前，将密封的磋商响应文件送达磋商地点。</w:t>
      </w:r>
    </w:p>
    <w:p w14:paraId="2C9AE292">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6.4 供应商不得相互串通磋商报价，不得排挤其他供应商的公平竞争，损害采购人或者其他供应商合法权益。供应商不得与采购人串通，损害国家利益，公众利益或者他人的合法权益。</w:t>
      </w:r>
    </w:p>
    <w:p w14:paraId="66217D02">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7.磋商报价</w:t>
      </w:r>
    </w:p>
    <w:p w14:paraId="6548273D">
      <w:pPr>
        <w:tabs>
          <w:tab w:val="left" w:pos="284"/>
        </w:tabs>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7.1 本项目磋商总价应包括为完成该项服务项目所涉及到的一切相关费用，成交后采购人不再支付其他任何费用。</w:t>
      </w:r>
    </w:p>
    <w:p w14:paraId="264BBE66">
      <w:pPr>
        <w:tabs>
          <w:tab w:val="left" w:pos="284"/>
        </w:tabs>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7.2 磋商报价方式</w:t>
      </w:r>
    </w:p>
    <w:p w14:paraId="451F5EB3">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7.2.1 供应商应按照竞争性磋商文件中提供的格式完整填写报价一览表。报价一览表中的报价应与磋商分项报价表的总价完全一致，如有不一致的，以报价一览表的报价为准。</w:t>
      </w:r>
    </w:p>
    <w:p w14:paraId="2D119D37">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供应商填报磋商分项报价表时，每一单项均应计算并填写单价和总价，该表由法定代表人或代理人签署。供应商未填单价或合价的项目，在实施后，采购人将不予支付，并视为该</w:t>
      </w:r>
      <w:r>
        <w:rPr>
          <w:rFonts w:hint="eastAsia" w:cs="宋体" w:asciiTheme="minorEastAsia" w:hAnsiTheme="minorEastAsia" w:eastAsiaTheme="minorEastAsia"/>
          <w:color w:val="auto"/>
          <w:szCs w:val="21"/>
          <w:highlight w:val="none"/>
        </w:rPr>
        <w:t>项费用已包括在其它有价款的单价或合价内。一项磋商内容只允许一个报价，不接受任何有选择性的磋商报价。</w:t>
      </w:r>
    </w:p>
    <w:p w14:paraId="3CCF3613">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7.2.2 报价货币为人民币，评审时以人民币为准。</w:t>
      </w:r>
    </w:p>
    <w:p w14:paraId="7A69B5E2">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7.2.3 磋商报价高于最高限价的作为无效响应处理。</w:t>
      </w:r>
    </w:p>
    <w:p w14:paraId="09DBFC7F">
      <w:pPr>
        <w:spacing w:line="360" w:lineRule="exact"/>
        <w:ind w:firstLine="420"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7.2.4 磋商报价次数：</w:t>
      </w:r>
      <w:r>
        <w:rPr>
          <w:rFonts w:hint="eastAsia" w:cs="宋体" w:asciiTheme="minorEastAsia" w:hAnsiTheme="minorEastAsia" w:eastAsiaTheme="minorEastAsia"/>
          <w:b/>
          <w:color w:val="auto"/>
          <w:szCs w:val="21"/>
          <w:highlight w:val="none"/>
        </w:rPr>
        <w:t>本项目采用至少二次报价，</w:t>
      </w:r>
      <w:r>
        <w:rPr>
          <w:rFonts w:hint="eastAsia" w:cs="宋体" w:asciiTheme="minorEastAsia" w:hAnsiTheme="minorEastAsia" w:eastAsiaTheme="minorEastAsia"/>
          <w:color w:val="auto"/>
          <w:szCs w:val="21"/>
          <w:highlight w:val="none"/>
        </w:rPr>
        <w:t>磋商响应文件报价一览表的报价作为首次报价，在磋商结束后，磋商小组应当要求所有实质性响应的供应商在规定时间内提交最后报价，最后报价作为评审依据。</w:t>
      </w:r>
      <w:r>
        <w:rPr>
          <w:rFonts w:hint="eastAsia" w:cs="宋体" w:asciiTheme="minorEastAsia" w:hAnsiTheme="minorEastAsia" w:eastAsiaTheme="minorEastAsia"/>
          <w:b/>
          <w:color w:val="auto"/>
          <w:szCs w:val="21"/>
          <w:highlight w:val="none"/>
        </w:rPr>
        <w:t>除实质性变动采购需求中的技术、服务要求以及合同草案条款外，供应商的最终报价不得高于磋商响应文件的首次报价，否则视为无效响应。</w:t>
      </w:r>
    </w:p>
    <w:p w14:paraId="63870A9B">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8.磋商响应文件的组成</w:t>
      </w:r>
    </w:p>
    <w:p w14:paraId="6A2F8AB1">
      <w:pPr>
        <w:spacing w:line="36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详见第五章《磋商响应文件的组成》。</w:t>
      </w:r>
    </w:p>
    <w:p w14:paraId="42C450F4">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9.磋商保证金</w:t>
      </w:r>
    </w:p>
    <w:p w14:paraId="7578EEEA">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9.1 磋商保证金是磋商响应文件的一个组成部分，供应商须按规定从供应商账户缴纳。磋商时，未按要求缴纳保证金的视为无效响应。</w:t>
      </w:r>
    </w:p>
    <w:p w14:paraId="7654301C">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9.2 未成交供应商的保证金将在成交通知书发出后五个工作日内退还。</w:t>
      </w:r>
    </w:p>
    <w:p w14:paraId="285A8D0E">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9.3 成交供应商的磋商保证金将在其合同签约完毕（合同须由代理机构备案）后五个工作日内退还。</w:t>
      </w:r>
    </w:p>
    <w:p w14:paraId="25834022">
      <w:pPr>
        <w:spacing w:line="360" w:lineRule="exact"/>
        <w:ind w:firstLine="420"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9.4 供应商出现下列情况之一的，取消其成交资格，</w:t>
      </w:r>
      <w:r>
        <w:rPr>
          <w:rFonts w:hint="eastAsia" w:cs="宋体" w:asciiTheme="minorEastAsia" w:hAnsiTheme="minorEastAsia" w:eastAsiaTheme="minorEastAsia"/>
          <w:b/>
          <w:color w:val="auto"/>
          <w:szCs w:val="21"/>
          <w:highlight w:val="none"/>
        </w:rPr>
        <w:t>并没收其磋商保证金：</w:t>
      </w:r>
    </w:p>
    <w:p w14:paraId="18CDA4A0">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9.4.1 供应商在磋商有效期内撤回其磋商响应文件（磋商过程中，经采购人确认，实质性变动采购需求中的技术、服务要求以及合同草案条款，供应商退出磋商的除外）；</w:t>
      </w:r>
    </w:p>
    <w:p w14:paraId="281AC21D">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9.4.2 成交供应商未能在磋商文件规定的期限提交履约保证金；</w:t>
      </w:r>
    </w:p>
    <w:p w14:paraId="3DA6E6B7">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9.4.3 成交供应商无正当理由拒绝签订合同或者由于供应商的原因导致成交无效的；</w:t>
      </w:r>
    </w:p>
    <w:p w14:paraId="473F2A8B">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9.4.4 供应商提供的有关资料、资格证明文件被确认是不真实的或供应商之间被证实有串通（统一哄抬价格）、欺诈行为；</w:t>
      </w:r>
    </w:p>
    <w:p w14:paraId="1A141B57">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9.4.5 供应商被证明有妨碍其他人公平竞争、损害代理机构或者其他供应商合法权益的；</w:t>
      </w:r>
    </w:p>
    <w:p w14:paraId="2D998FBF">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9.4.6 法律法规认定的其他情形。</w:t>
      </w:r>
    </w:p>
    <w:p w14:paraId="37B53FE9">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10.磋商响应文件的制作</w:t>
      </w:r>
    </w:p>
    <w:p w14:paraId="0C72C0D5">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10.l 供应商应提交</w:t>
      </w:r>
      <w:r>
        <w:rPr>
          <w:rFonts w:hint="eastAsia" w:cs="宋体" w:asciiTheme="minorEastAsia" w:hAnsiTheme="minorEastAsia" w:eastAsiaTheme="minorEastAsia"/>
          <w:b/>
          <w:color w:val="auto"/>
          <w:szCs w:val="21"/>
          <w:highlight w:val="none"/>
          <w:u w:val="single"/>
        </w:rPr>
        <w:t>装订的磋商响应文件</w:t>
      </w:r>
      <w:r>
        <w:rPr>
          <w:rFonts w:hint="eastAsia" w:cs="宋体" w:asciiTheme="minorEastAsia" w:hAnsiTheme="minorEastAsia" w:eastAsiaTheme="minorEastAsia"/>
          <w:b/>
          <w:bCs/>
          <w:color w:val="auto"/>
          <w:szCs w:val="21"/>
          <w:highlight w:val="none"/>
          <w:u w:val="single"/>
        </w:rPr>
        <w:t>壹份“正本”、贰份“副本”、壹份“电子文档”（载体</w:t>
      </w:r>
      <w:r>
        <w:rPr>
          <w:rFonts w:cs="宋体" w:asciiTheme="minorEastAsia" w:hAnsiTheme="minorEastAsia" w:eastAsiaTheme="minorEastAsia"/>
          <w:b/>
          <w:bCs/>
          <w:color w:val="auto"/>
          <w:szCs w:val="21"/>
          <w:highlight w:val="none"/>
          <w:u w:val="single"/>
        </w:rPr>
        <w:t>采用</w:t>
      </w:r>
      <w:r>
        <w:rPr>
          <w:rFonts w:hint="eastAsia" w:cs="宋体" w:asciiTheme="minorEastAsia" w:hAnsiTheme="minorEastAsia" w:eastAsiaTheme="minorEastAsia"/>
          <w:b/>
          <w:bCs/>
          <w:color w:val="auto"/>
          <w:szCs w:val="21"/>
          <w:highlight w:val="none"/>
          <w:u w:val="single"/>
        </w:rPr>
        <w:t>“电子光盘”或“U盘”，内容包含全套正本磋商响应文件</w:t>
      </w:r>
      <w:r>
        <w:rPr>
          <w:rFonts w:hint="eastAsia" w:cs="宋体" w:asciiTheme="minorEastAsia" w:hAnsiTheme="minorEastAsia" w:eastAsiaTheme="minorEastAsia"/>
          <w:b/>
          <w:bCs/>
          <w:color w:val="auto"/>
          <w:szCs w:val="21"/>
          <w:highlight w:val="none"/>
          <w:u w:val="single"/>
          <w:lang w:val="en-US" w:eastAsia="zh-CN"/>
        </w:rPr>
        <w:t>原件扫描件</w:t>
      </w:r>
      <w:r>
        <w:rPr>
          <w:rFonts w:hint="eastAsia" w:cs="宋体" w:asciiTheme="minorEastAsia" w:hAnsiTheme="minorEastAsia" w:eastAsiaTheme="minorEastAsia"/>
          <w:b/>
          <w:bCs/>
          <w:color w:val="auto"/>
          <w:szCs w:val="21"/>
          <w:highlight w:val="none"/>
          <w:u w:val="single"/>
        </w:rPr>
        <w:t>）</w:t>
      </w:r>
      <w:r>
        <w:rPr>
          <w:rFonts w:hint="eastAsia" w:cs="宋体" w:asciiTheme="minorEastAsia" w:hAnsiTheme="minorEastAsia" w:eastAsiaTheme="minorEastAsia"/>
          <w:b/>
          <w:color w:val="auto"/>
          <w:szCs w:val="21"/>
          <w:highlight w:val="none"/>
          <w:u w:val="single"/>
        </w:rPr>
        <w:t>。</w:t>
      </w:r>
      <w:r>
        <w:rPr>
          <w:rFonts w:hint="eastAsia" w:cs="宋体" w:asciiTheme="minorEastAsia" w:hAnsiTheme="minorEastAsia" w:eastAsiaTheme="minorEastAsia"/>
          <w:color w:val="auto"/>
          <w:szCs w:val="21"/>
          <w:highlight w:val="none"/>
        </w:rPr>
        <w:t>纸质版磋</w:t>
      </w:r>
      <w:r>
        <w:rPr>
          <w:rFonts w:hint="eastAsia" w:cs="宋体" w:asciiTheme="minorEastAsia" w:hAnsiTheme="minorEastAsia" w:eastAsiaTheme="minorEastAsia"/>
          <w:color w:val="auto"/>
          <w:szCs w:val="21"/>
          <w:highlight w:val="none"/>
        </w:rPr>
        <w:t>商响应文件正本和副本如有不一致之处，以纸质版正本为准。</w:t>
      </w:r>
    </w:p>
    <w:p w14:paraId="6C8070B6">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10.2 磋商响应文件正本、副本必须全部是打印件。供应商应按照要求签字、盖章。</w:t>
      </w:r>
    </w:p>
    <w:p w14:paraId="39CEBA67">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10.3 磋商响应文件应无涂改和行间插字，供应商造成的必须修改的错误，修改处应由磋商响应文件法定代表人或授权委托人签字或盖章并加盖供应商公章，否则修改无效。</w:t>
      </w:r>
    </w:p>
    <w:p w14:paraId="30BBB692">
      <w:pPr>
        <w:spacing w:line="360" w:lineRule="exact"/>
        <w:ind w:firstLine="420" w:firstLineChars="200"/>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 xml:space="preserve">10.4 </w:t>
      </w:r>
      <w:r>
        <w:rPr>
          <w:rFonts w:hint="eastAsia" w:cs="宋体" w:asciiTheme="minorEastAsia" w:hAnsiTheme="minorEastAsia" w:eastAsiaTheme="minorEastAsia"/>
          <w:b/>
          <w:color w:val="auto"/>
          <w:szCs w:val="21"/>
          <w:highlight w:val="none"/>
        </w:rPr>
        <w:t>本文件所表述（指定）的公章是指法定名称章，不包括合同专用章、业务专用章</w:t>
      </w:r>
      <w:r>
        <w:rPr>
          <w:rFonts w:hint="eastAsia" w:cs="宋体" w:asciiTheme="minorEastAsia" w:hAnsiTheme="minorEastAsia" w:eastAsiaTheme="minorEastAsia"/>
          <w:b/>
          <w:color w:val="auto"/>
          <w:szCs w:val="21"/>
          <w:highlight w:val="none"/>
        </w:rPr>
        <w:t>等印章；盖章是指加盖鲜章。</w:t>
      </w:r>
    </w:p>
    <w:p w14:paraId="27534DED">
      <w:pPr>
        <w:spacing w:line="360" w:lineRule="exact"/>
        <w:ind w:firstLine="422" w:firstLineChars="200"/>
        <w:rPr>
          <w:rFonts w:hint="eastAsia" w:eastAsia="宋体" w:cs="宋体" w:asciiTheme="minorEastAsia" w:hAnsiTheme="minorEastAsia"/>
          <w:b/>
          <w:color w:val="auto"/>
          <w:szCs w:val="21"/>
          <w:highlight w:val="none"/>
          <w:lang w:val="en-US" w:eastAsia="zh-CN"/>
        </w:rPr>
      </w:pPr>
      <w:r>
        <w:rPr>
          <w:rFonts w:hint="eastAsia" w:cs="宋体" w:asciiTheme="minorEastAsia" w:hAnsiTheme="minorEastAsia" w:eastAsiaTheme="minorEastAsia"/>
          <w:b/>
          <w:color w:val="auto"/>
          <w:szCs w:val="21"/>
          <w:highlight w:val="none"/>
          <w:lang w:val="en-US" w:eastAsia="zh-CN"/>
        </w:rPr>
        <w:t>10.5</w:t>
      </w:r>
      <w:r>
        <w:rPr>
          <w:rFonts w:hint="eastAsia" w:ascii="宋体" w:hAnsi="宋体" w:cs="宋体"/>
          <w:bCs/>
          <w:color w:val="auto"/>
          <w:kern w:val="0"/>
          <w:szCs w:val="21"/>
          <w:highlight w:val="none"/>
        </w:rPr>
        <w:t>供应商违反上述规定的，其响应文件将被作为无效响应文件，不予拆封和参加评审</w:t>
      </w:r>
      <w:r>
        <w:rPr>
          <w:rFonts w:hint="eastAsia" w:ascii="宋体" w:hAnsi="宋体" w:cs="宋体"/>
          <w:bCs/>
          <w:color w:val="auto"/>
          <w:kern w:val="0"/>
          <w:szCs w:val="21"/>
          <w:highlight w:val="none"/>
          <w:lang w:val="en-US" w:eastAsia="zh-CN"/>
        </w:rPr>
        <w:t>.</w:t>
      </w:r>
    </w:p>
    <w:p w14:paraId="4A53FE90">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11.磋商响应文件的有效期</w:t>
      </w:r>
    </w:p>
    <w:p w14:paraId="68E39416">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磋商响应文件有效期为规定的开标之日后</w:t>
      </w:r>
      <w:r>
        <w:rPr>
          <w:rFonts w:hint="eastAsia" w:cs="宋体" w:asciiTheme="minorEastAsia" w:hAnsiTheme="minorEastAsia" w:eastAsiaTheme="minorEastAsia"/>
          <w:b/>
          <w:color w:val="auto"/>
          <w:szCs w:val="21"/>
          <w:highlight w:val="none"/>
          <w:u w:val="single"/>
        </w:rPr>
        <w:t>六十（60）天</w:t>
      </w:r>
      <w:r>
        <w:rPr>
          <w:rFonts w:hint="eastAsia" w:cs="宋体" w:asciiTheme="minorEastAsia" w:hAnsiTheme="minorEastAsia" w:eastAsiaTheme="minorEastAsia"/>
          <w:color w:val="auto"/>
          <w:szCs w:val="21"/>
          <w:highlight w:val="none"/>
        </w:rPr>
        <w:t>。磋商有效期比规定短的将被视为无效响应而予以拒绝。</w:t>
      </w:r>
    </w:p>
    <w:p w14:paraId="7B55AB91">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12.磋商响应文件的密封</w:t>
      </w:r>
    </w:p>
    <w:p w14:paraId="76426542">
      <w:pPr>
        <w:spacing w:line="360" w:lineRule="exact"/>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磋商响应文件</w:t>
      </w:r>
      <w:r>
        <w:rPr>
          <w:rFonts w:hint="eastAsia" w:cs="宋体" w:asciiTheme="minorEastAsia" w:hAnsiTheme="minorEastAsia" w:eastAsiaTheme="minorEastAsia"/>
          <w:b/>
          <w:color w:val="auto"/>
          <w:szCs w:val="21"/>
          <w:highlight w:val="none"/>
        </w:rPr>
        <w:t>正本、副本、电子文档均应当密封，</w:t>
      </w:r>
      <w:r>
        <w:rPr>
          <w:rFonts w:hint="eastAsia" w:cs="宋体" w:asciiTheme="minorEastAsia" w:hAnsiTheme="minorEastAsia" w:eastAsiaTheme="minorEastAsia"/>
          <w:color w:val="auto"/>
          <w:szCs w:val="21"/>
          <w:highlight w:val="none"/>
        </w:rPr>
        <w:t>所有封袋</w:t>
      </w:r>
      <w:r>
        <w:rPr>
          <w:rFonts w:hint="eastAsia" w:ascii="宋体" w:hAnsi="宋体" w:cs="宋体"/>
          <w:color w:val="auto"/>
          <w:szCs w:val="21"/>
          <w:highlight w:val="none"/>
        </w:rPr>
        <w:t>都应写明供应商名称、项目名称、项目编号、年月日，加盖供应商公章</w:t>
      </w:r>
      <w:r>
        <w:rPr>
          <w:rFonts w:hint="eastAsia" w:cs="宋体" w:asciiTheme="minorEastAsia" w:hAnsiTheme="minorEastAsia" w:eastAsiaTheme="minorEastAsia"/>
          <w:color w:val="auto"/>
          <w:szCs w:val="21"/>
          <w:highlight w:val="none"/>
        </w:rPr>
        <w:t>。</w:t>
      </w:r>
    </w:p>
    <w:p w14:paraId="36FEE90A">
      <w:pPr>
        <w:spacing w:line="360" w:lineRule="exact"/>
        <w:ind w:firstLine="420" w:firstLineChars="200"/>
        <w:rPr>
          <w:rFonts w:hint="eastAsia" w:eastAsia="宋体" w:cs="宋体" w:asciiTheme="minorEastAsia" w:hAnsiTheme="minorEastAsia"/>
          <w:color w:val="auto"/>
          <w:szCs w:val="21"/>
          <w:highlight w:val="none"/>
          <w:lang w:eastAsia="zh-CN"/>
        </w:rPr>
      </w:pPr>
      <w:r>
        <w:rPr>
          <w:rFonts w:hint="eastAsia" w:ascii="宋体" w:hAnsi="宋体" w:cs="宋体"/>
          <w:bCs/>
          <w:color w:val="auto"/>
          <w:kern w:val="0"/>
          <w:szCs w:val="21"/>
          <w:highlight w:val="none"/>
        </w:rPr>
        <w:t>供应商违反上述规定的，其响应文件将被作为无效响应文件，不予拆封和参加评审</w:t>
      </w:r>
      <w:r>
        <w:rPr>
          <w:rFonts w:hint="eastAsia" w:ascii="宋体" w:hAnsi="宋体" w:cs="宋体"/>
          <w:bCs/>
          <w:color w:val="auto"/>
          <w:kern w:val="0"/>
          <w:szCs w:val="21"/>
          <w:highlight w:val="none"/>
          <w:lang w:eastAsia="zh-CN"/>
        </w:rPr>
        <w:t>。</w:t>
      </w:r>
    </w:p>
    <w:p w14:paraId="3AA71888">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13.磋商响应文件提交截止时间及地点</w:t>
      </w:r>
    </w:p>
    <w:p w14:paraId="6C55FA1C">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供应商应在规定的截止日期和时间之前将磋商响应文件提交至公告中注明的地点，凡逾期送达的磋商响应文件将不予接收。</w:t>
      </w:r>
    </w:p>
    <w:p w14:paraId="2141ECC9">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14.磋商响应文件的修改和撤回</w:t>
      </w:r>
    </w:p>
    <w:p w14:paraId="565D5EF2">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713F4C08">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供应商的补充、修改或撤回文件应按规定进行编制、密封、标记和发送，并应在封套上加注“补充”、“修改”或“撤回”字样。上述补充或修改若涉及磋商报价，必须注明“最后唯一报价”字样，否则将视为有选择的报价。修改文件必须在磋商响应文件提交截止时间前送</w:t>
      </w:r>
      <w:r>
        <w:rPr>
          <w:rFonts w:hint="eastAsia" w:cs="宋体" w:asciiTheme="minorEastAsia" w:hAnsiTheme="minorEastAsia" w:eastAsiaTheme="minorEastAsia"/>
          <w:color w:val="auto"/>
          <w:szCs w:val="21"/>
          <w:highlight w:val="none"/>
        </w:rPr>
        <w:t>达磋商地点。</w:t>
      </w:r>
    </w:p>
    <w:p w14:paraId="6D6ABE21">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在磋商响应文件提交截止时间至竞争性磋商文件中规定的磋商有效期满之间的这段时间内，供应商不得撤销其磋商响应，否则其磋商保证金将不予退还。（磋商过程中，经采购人确认，实质性变动采购需求中的技术、服务要求以及合同草案条款，供应商退出磋商的除外）</w:t>
      </w:r>
    </w:p>
    <w:p w14:paraId="4AB358E7">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15.磋商仪式</w:t>
      </w:r>
    </w:p>
    <w:p w14:paraId="22215C70">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15.1 代理机构按磋商公告中规定的时间、地点组织磋商开始仪式。</w:t>
      </w:r>
    </w:p>
    <w:p w14:paraId="49AB270D">
      <w:pPr>
        <w:spacing w:line="360" w:lineRule="exact"/>
        <w:ind w:firstLine="420"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15.2 供应商参加磋商仪式的</w:t>
      </w:r>
      <w:r>
        <w:rPr>
          <w:rFonts w:hint="eastAsia" w:cs="宋体" w:asciiTheme="minorEastAsia" w:hAnsiTheme="minorEastAsia" w:eastAsiaTheme="minorEastAsia"/>
          <w:b/>
          <w:color w:val="auto"/>
          <w:szCs w:val="21"/>
          <w:highlight w:val="none"/>
        </w:rPr>
        <w:t>应由法定代表人或委托代理人准时参加，并签名报到以证明其出席，否则视为无效响应。</w:t>
      </w:r>
    </w:p>
    <w:p w14:paraId="630B38D4">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16.磋商小组</w:t>
      </w:r>
    </w:p>
    <w:p w14:paraId="73BD57D1">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shd w:val="clear" w:color="auto" w:fill="FFFFFF"/>
        </w:rPr>
        <w:t>评审由磋商小组负责，磋商小组成员按照客观、公正、审慎的原则，根据磋商文件规定的评审程序、评审方法和评审标准进行独立评审。</w:t>
      </w:r>
    </w:p>
    <w:p w14:paraId="67B2C405">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17.评审内容的保密</w:t>
      </w:r>
    </w:p>
    <w:p w14:paraId="7BCC0E1E">
      <w:pPr>
        <w:pStyle w:val="5"/>
        <w:overflowPunct w:val="0"/>
        <w:spacing w:line="360" w:lineRule="exact"/>
        <w:ind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17.1 磋商开始后，直到宣布授予成交供应商合同为止，凡属于审查、澄清、评价和比较磋商响应文件的所有资料，有关授予合同的信息都不应向供应商或与评审无关的其他人泄露。</w:t>
      </w:r>
    </w:p>
    <w:p w14:paraId="70EC9307">
      <w:pPr>
        <w:spacing w:line="3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7</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 xml:space="preserve"> 在评审过程中，供应商不得以任何行为影响评审过程，否则其磋商响应文件将被作为无效磋商响应文件。</w:t>
      </w:r>
    </w:p>
    <w:p w14:paraId="46B5F91A">
      <w:pPr>
        <w:spacing w:line="3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7</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代理机构和磋商小组不向未成交的供应商解释未成交原因，也不公布评审过程中的相关细节。</w:t>
      </w:r>
    </w:p>
    <w:p w14:paraId="0AE1C931">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18.对磋商响应文件的审查</w:t>
      </w:r>
    </w:p>
    <w:p w14:paraId="3FA0B5D2">
      <w:pPr>
        <w:pStyle w:val="5"/>
        <w:overflowPunct w:val="0"/>
        <w:spacing w:line="360" w:lineRule="exact"/>
        <w:ind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磋商响应文件初审分为资格审查和符合性审查。</w:t>
      </w:r>
    </w:p>
    <w:p w14:paraId="455BFAF4">
      <w:pPr>
        <w:pStyle w:val="5"/>
        <w:overflowPunct w:val="0"/>
        <w:spacing w:line="360" w:lineRule="exact"/>
        <w:ind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18.1 资格审查：依据法律法规和竞争性磋商文件的规定，对磋商响应文件中的资格证明文件进行审查。</w:t>
      </w:r>
    </w:p>
    <w:p w14:paraId="4E758385">
      <w:pPr>
        <w:pStyle w:val="5"/>
        <w:overflowPunct w:val="0"/>
        <w:spacing w:line="360" w:lineRule="exact"/>
        <w:ind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18.2 符合性审查：依据竞争性磋商文件的规定，由磋商小组从磋商响应文件的有效性、完整性和竞争性磋商响应程度进行审查，以确定是否对竞争性磋商文件的实质性要求作出响应。</w:t>
      </w:r>
    </w:p>
    <w:p w14:paraId="06D963D9">
      <w:pPr>
        <w:pStyle w:val="5"/>
        <w:overflowPunct w:val="0"/>
        <w:spacing w:line="360" w:lineRule="exact"/>
        <w:ind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在正式磋商之前，磋商小组将首先审查每份磋商响应文件是否实质性响应了竞争性磋商文件的要求。实质性响应的磋商响应文件应该是与竞争性磋商文件要求的条款、条件和规格相符，没有重大负偏离或保留。</w:t>
      </w:r>
    </w:p>
    <w:p w14:paraId="60EDA1A5">
      <w:pPr>
        <w:pStyle w:val="5"/>
        <w:overflowPunct w:val="0"/>
        <w:spacing w:line="360" w:lineRule="exact"/>
        <w:ind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所谓重大偏离或保留是指与竞争性磋商文件规定的实质性要求存在负偏离，或者在实质上与竞争性磋商文件不一致，而且限制了合同中采购人和见证方的权利或供应商的义务，纠正这些偏离或保留将会对其他实质性响应要求的供应商的竞争地位产生不公正的影响。重大偏离的认定需经过磋商小组三分二及以上成员的认定。磋商小组决定磋商响应文件的响应性只根据磋商响应文件本身的内容，而不寻求外部的证据。竞争性磋商如果磋商响应文件实质上未响应竞争性磋商文件的要求，磋商小组将予以拒绝，供应商不得通过修改或撤销不合要求的偏离或保留而使其磋商响应文件成为实质性响应。</w:t>
      </w:r>
    </w:p>
    <w:p w14:paraId="2D97F2C1">
      <w:pPr>
        <w:pStyle w:val="5"/>
        <w:overflowPunct w:val="0"/>
        <w:spacing w:line="360" w:lineRule="exact"/>
        <w:ind w:firstLine="422"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b/>
          <w:color w:val="auto"/>
          <w:sz w:val="21"/>
          <w:szCs w:val="21"/>
          <w:highlight w:val="none"/>
        </w:rPr>
        <w:t>18.3 磋商响应文件出现下列情况之一的，将作为无效磋商响应文件处理</w:t>
      </w:r>
      <w:r>
        <w:rPr>
          <w:rFonts w:hint="eastAsia" w:cs="宋体" w:asciiTheme="minorEastAsia" w:hAnsiTheme="minorEastAsia" w:eastAsiaTheme="minorEastAsia"/>
          <w:color w:val="auto"/>
          <w:sz w:val="21"/>
          <w:szCs w:val="21"/>
          <w:highlight w:val="none"/>
        </w:rPr>
        <w:t xml:space="preserve">： </w:t>
      </w:r>
    </w:p>
    <w:p w14:paraId="7117748A">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18.3.1 供应商未通过领购申请的或者在名称上和法人地位上与领购时发生实质性改变</w:t>
      </w:r>
      <w:r>
        <w:rPr>
          <w:rFonts w:hint="eastAsia" w:cs="宋体" w:asciiTheme="minorEastAsia" w:hAnsiTheme="minorEastAsia" w:eastAsiaTheme="minorEastAsia"/>
          <w:color w:val="auto"/>
          <w:szCs w:val="21"/>
          <w:highlight w:val="none"/>
        </w:rPr>
        <w:t>的；</w:t>
      </w:r>
    </w:p>
    <w:p w14:paraId="310B2A65">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18.3.2 未按竞争性磋商文件要求缴纳磋商保证金的（免交磋商保证金的除外）；</w:t>
      </w:r>
    </w:p>
    <w:p w14:paraId="5FE96749">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18.3.3 磋商响应文件提交时未按规定密封、盖章的，电子文档未按要求提供的；</w:t>
      </w:r>
    </w:p>
    <w:p w14:paraId="7CF9929D">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18.3.4供应商被“信用中国”网站（www.creditchina.gov.cn）列入失信被执行人、重大税收违法案件当事人名单、严重失信行为记录名单的；</w:t>
      </w:r>
    </w:p>
    <w:p w14:paraId="3495C4BF">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18.3.5 法定代表人或委托代理人未准时参加磋商的，未</w:t>
      </w:r>
      <w:r>
        <w:rPr>
          <w:rFonts w:hint="eastAsia" w:cs="宋体" w:asciiTheme="minorEastAsia" w:hAnsiTheme="minorEastAsia" w:eastAsiaTheme="minorEastAsia"/>
          <w:color w:val="auto"/>
          <w:szCs w:val="21"/>
          <w:highlight w:val="none"/>
        </w:rPr>
        <w:t>按磋商文件要求提供法定代表人资格证明书或授权委托书的、无供应商公章的、无法定代表人或委托代理人签字或盖章的、非原件的；</w:t>
      </w:r>
    </w:p>
    <w:p w14:paraId="490F2412">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18.3.6 供应商不符合磋商文件中规定资格要求的，或者资格要求证明材料提供不齐全的；</w:t>
      </w:r>
    </w:p>
    <w:p w14:paraId="6B33108F">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18.3.7 磋商响应文件未按竞争性磋商文件规定的格式、内容和要求编制，磋商响应文件字迹潦草、模糊、难以辨认；</w:t>
      </w:r>
    </w:p>
    <w:p w14:paraId="2690B7D8">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18.3.8 磋商响应文件材料所述情况和所附相关资料不实的；</w:t>
      </w:r>
    </w:p>
    <w:p w14:paraId="15947D2B">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18.3.9 供应商以他人的名义参加磋商、相互串通、以行贿手段谋取成交或者以其他弄虚作假方式参与磋商的；</w:t>
      </w:r>
    </w:p>
    <w:p w14:paraId="5067B723">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18.3.10 供应商在一份磋商响应文件中，对同一采购项目报有两个或多个报价，且未书面确定以哪个报价为准的；</w:t>
      </w:r>
    </w:p>
    <w:p w14:paraId="743A00CA">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18.3.11 供应商的磋商报价超出采购预算或者最高限价的；</w:t>
      </w:r>
    </w:p>
    <w:p w14:paraId="5A7DD17E">
      <w:pPr>
        <w:spacing w:line="360" w:lineRule="exact"/>
        <w:ind w:firstLine="422"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18.3.12 除实质性变动采购需求中的技术、服务要求以及合同草案条款外，供应商的最终报价高于磋商响应文件的首次报价的；</w:t>
      </w:r>
    </w:p>
    <w:p w14:paraId="2216E76C">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18.3.13 未按要求提供带“*”项材料或者带“*”项内容未盖公章的；</w:t>
      </w:r>
    </w:p>
    <w:p w14:paraId="2763A52E">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18.3.14 磋商小组认为供应商的报价明显低于其他通过符合性审查供应商的报价，有可能不能诚信履约的，应当要求其在评审现场合理的时间内提供书面说明，必要时提交相关证明材料；供应商不能证明其报价合理性的，磋商小组应当将其作为无效响应处理；</w:t>
      </w:r>
    </w:p>
    <w:p w14:paraId="63339CF7">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18.3.15 磋商响应文件含有采购人不能接受的附加条件的；</w:t>
      </w:r>
    </w:p>
    <w:p w14:paraId="0AD86084">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18.3.16 竞争性磋商文件明确规定无效的其他情形，或者其他被磋商小组认定无效的情况；</w:t>
      </w:r>
    </w:p>
    <w:p w14:paraId="64E97BD0">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18.3.17 不符合法律、法规和竞争性磋商文件规定的其他实质性要求的。</w:t>
      </w:r>
    </w:p>
    <w:p w14:paraId="36FB3A85">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18.4 有下列情形之一的，视为供应商相互串通，无效响应：</w:t>
      </w:r>
    </w:p>
    <w:p w14:paraId="1FB4F861">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18.4.1 不同供应商的磋商响应文件由同一单位或者个人编制；</w:t>
      </w:r>
    </w:p>
    <w:p w14:paraId="58592701">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18.4.2 不同供应商委托同一单位或者个人办理磋商事宜；</w:t>
      </w:r>
    </w:p>
    <w:p w14:paraId="6C8FCC5A">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18.4.3 不同供应商的磋商响应文件载明的项目管理成员或者联系人员为同一人；</w:t>
      </w:r>
    </w:p>
    <w:p w14:paraId="4D450FAE">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18.4.4 不同供应商的磋商响应文件异常一致或者磋商报价呈规律性差异；</w:t>
      </w:r>
    </w:p>
    <w:p w14:paraId="68350F44">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18.4.5 不同供应商的磋商响应文件相互混装；</w:t>
      </w:r>
    </w:p>
    <w:p w14:paraId="233FD743">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18.4.6 不同供应商的磋商保证金从同一单位或者个人的账户转出。</w:t>
      </w:r>
    </w:p>
    <w:p w14:paraId="2C187448">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19.磋商响应文件的澄清</w:t>
      </w:r>
    </w:p>
    <w:p w14:paraId="5ED3A867">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19.1 为了有助于磋商响应文件的审查、评价和比较，磋商小组可以书面方式要求供应商对磋商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2B4FA493">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19.2 磋商小组可要求供应商就澄清的问题作出答复，该答复经供应商代表的签字认可，将作为磋商响应文件内容的一部分。</w:t>
      </w:r>
    </w:p>
    <w:p w14:paraId="05F6E2D1">
      <w:pPr>
        <w:spacing w:line="36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19.3 </w:t>
      </w:r>
      <w:r>
        <w:rPr>
          <w:rFonts w:hint="eastAsia" w:cs="宋体" w:asciiTheme="minorEastAsia" w:hAnsiTheme="minorEastAsia" w:eastAsiaTheme="minorEastAsia"/>
          <w:color w:val="auto"/>
          <w:szCs w:val="21"/>
          <w:highlight w:val="none"/>
        </w:rPr>
        <w:t>供应商在进行澄清、说明、答辩或补正时，不得改变磋商的价格（校核时发现的算术错误除外）、超出磋商文件的范围及改变磋商响应文件的实质性内容。</w:t>
      </w:r>
    </w:p>
    <w:p w14:paraId="62FAFB0F">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19.4 磋商响应文件报价出现前后不一致的，除竞争性磋商文件另有规定外，按照下列规定修正：</w:t>
      </w:r>
    </w:p>
    <w:p w14:paraId="1CFDE632">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19.4.1 磋商响应文件中报价一览表内容与磋商响应文件中相应内容不一致的，以报价一览表为准；</w:t>
      </w:r>
    </w:p>
    <w:p w14:paraId="6FC859DF">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19.4.2 磋商响应文件的大写金额与小写金额不一致的，以大写金额为准；</w:t>
      </w:r>
    </w:p>
    <w:p w14:paraId="493882C2">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19.4.3 单价金额小数点或者百分比有明显错位的，以报价一览表的总价为准，并修改单价；</w:t>
      </w:r>
    </w:p>
    <w:p w14:paraId="3A94252A">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19.4.4 总价金额与按单价汇总金额不一致的，以单价金额计算结果为准。</w:t>
      </w:r>
    </w:p>
    <w:p w14:paraId="47523B6E">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同时出现两种以上不一致的，按照前款规定的顺序修正。修正后的报价按照本竞争性磋商文件规定经供应商确认后产生约束力，供应商不确认的，其磋商无效，其磋商保证金不予退还。</w:t>
      </w:r>
      <w:r>
        <w:rPr>
          <w:rFonts w:hint="eastAsia" w:cs="宋体" w:asciiTheme="minorEastAsia" w:hAnsiTheme="minorEastAsia" w:eastAsiaTheme="minorEastAsia"/>
          <w:b/>
          <w:color w:val="auto"/>
          <w:szCs w:val="21"/>
          <w:highlight w:val="none"/>
        </w:rPr>
        <w:t>存在缺项漏项或者数量不符合竞争性磋商文件要求的作为无效磋商响应文件处理</w:t>
      </w:r>
      <w:r>
        <w:rPr>
          <w:rFonts w:hint="eastAsia" w:cs="宋体" w:asciiTheme="minorEastAsia" w:hAnsiTheme="minorEastAsia" w:eastAsiaTheme="minorEastAsia"/>
          <w:color w:val="auto"/>
          <w:szCs w:val="21"/>
          <w:highlight w:val="none"/>
        </w:rPr>
        <w:t>；对不同文字文本磋商响应文件的解释发生异议的，以中文文本为准。</w:t>
      </w:r>
    </w:p>
    <w:p w14:paraId="5C92B613">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19.5 供应商拒不按照磋商小组要求作出澄清、说明或者补正的，作为无效响应处理。</w:t>
      </w:r>
    </w:p>
    <w:p w14:paraId="622720E5">
      <w:pPr>
        <w:spacing w:line="360" w:lineRule="exact"/>
        <w:ind w:firstLine="420" w:firstLineChars="200"/>
        <w:rPr>
          <w:rFonts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19.6 磋商小组对磋商响应文件的判定，只依据磋商响应文件内容本身，不依靠磋商响应文件后的任何外来证明。</w:t>
      </w:r>
    </w:p>
    <w:p w14:paraId="7FE3C395">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20.磋商变动实质性内容</w:t>
      </w:r>
    </w:p>
    <w:p w14:paraId="4A8021B8">
      <w:pPr>
        <w:snapToGrid w:val="0"/>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按照磋商文件的变动情况和磋商小组的要求重新提交响应文件，并由其法定代表人或授权代表签字或者加盖公章。由授权代表签字的，应当附法定代表人授权书。</w:t>
      </w:r>
    </w:p>
    <w:p w14:paraId="3D3D9316">
      <w:pPr>
        <w:snapToGrid w:val="0"/>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已提交响应文件的供应商，在提交最后报价前，可以根据磋商情况退出磋商，代理机构退还该供应商磋商保证金。</w:t>
      </w:r>
    </w:p>
    <w:p w14:paraId="3990B4E5">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21. 出现下列情形之一的，终止竞争性磋商采购活动</w:t>
      </w:r>
    </w:p>
    <w:p w14:paraId="41F47C5F">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21.1 因情况变化，不再符合规定的竞争性磋商采购方式适用情形的；</w:t>
      </w:r>
    </w:p>
    <w:p w14:paraId="4F901D03">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21.2 出现影响采购公正的违法、违规行为的；</w:t>
      </w:r>
    </w:p>
    <w:p w14:paraId="75CBA20C">
      <w:pPr>
        <w:spacing w:line="360" w:lineRule="exact"/>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21.</w:t>
      </w:r>
      <w:r>
        <w:rPr>
          <w:rFonts w:hint="eastAsia" w:cs="宋体" w:asciiTheme="minorEastAsia" w:hAnsiTheme="minorEastAsia" w:eastAsiaTheme="minorEastAsia"/>
          <w:color w:val="auto"/>
          <w:szCs w:val="21"/>
          <w:highlight w:val="none"/>
        </w:rPr>
        <w:t>3 供应商的最终报价均超过了采购预算，采购人不能支付的；</w:t>
      </w:r>
    </w:p>
    <w:p w14:paraId="5D5BF946">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21.4</w:t>
      </w:r>
      <w:r>
        <w:rPr>
          <w:rFonts w:hint="eastAsia" w:ascii="宋体" w:hAnsi="宋体" w:cs="宋体"/>
          <w:bCs/>
          <w:color w:val="auto"/>
          <w:kern w:val="0"/>
          <w:szCs w:val="21"/>
          <w:highlight w:val="none"/>
        </w:rPr>
        <w:t>在采购过程中符合竞争要求的供应商或者报价未超过采购预算或</w:t>
      </w:r>
      <w:r>
        <w:rPr>
          <w:rFonts w:hint="eastAsia" w:ascii="宋体" w:hAnsi="宋体" w:cs="宋体"/>
          <w:b/>
          <w:bCs w:val="0"/>
          <w:color w:val="auto"/>
          <w:kern w:val="0"/>
          <w:szCs w:val="21"/>
          <w:highlight w:val="none"/>
        </w:rPr>
        <w:t>最高限价</w:t>
      </w:r>
      <w:r>
        <w:rPr>
          <w:rFonts w:hint="eastAsia" w:ascii="宋体" w:hAnsi="宋体" w:cs="宋体"/>
          <w:bCs/>
          <w:color w:val="auto"/>
          <w:kern w:val="0"/>
          <w:szCs w:val="21"/>
          <w:highlight w:val="none"/>
        </w:rPr>
        <w:t>的供应商</w:t>
      </w:r>
      <w:r>
        <w:rPr>
          <w:rFonts w:hint="eastAsia" w:ascii="宋体" w:hAnsi="宋体" w:cs="宋体"/>
          <w:b/>
          <w:bCs w:val="0"/>
          <w:color w:val="auto"/>
          <w:kern w:val="0"/>
          <w:szCs w:val="21"/>
          <w:highlight w:val="none"/>
        </w:rPr>
        <w:t>不足2家</w:t>
      </w:r>
      <w:r>
        <w:rPr>
          <w:rFonts w:hint="eastAsia" w:ascii="宋体" w:hAnsi="宋体" w:cs="宋体"/>
          <w:bCs/>
          <w:color w:val="auto"/>
          <w:kern w:val="0"/>
          <w:szCs w:val="21"/>
          <w:highlight w:val="none"/>
        </w:rPr>
        <w:t>的。</w:t>
      </w:r>
    </w:p>
    <w:p w14:paraId="75427390">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21.</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 xml:space="preserve"> 因重大变故，采购任务取消的。</w:t>
      </w:r>
    </w:p>
    <w:p w14:paraId="2D1FDFF0">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22.评审方法</w:t>
      </w:r>
    </w:p>
    <w:p w14:paraId="7286BED7">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22.1</w:t>
      </w:r>
      <w:r>
        <w:rPr>
          <w:rFonts w:hint="eastAsia" w:cs="宋体" w:asciiTheme="minorEastAsia" w:hAnsiTheme="minorEastAsia" w:eastAsiaTheme="minorEastAsia"/>
          <w:b/>
          <w:color w:val="auto"/>
          <w:szCs w:val="21"/>
          <w:highlight w:val="none"/>
        </w:rPr>
        <w:t>本项目采用综合评分法，</w:t>
      </w:r>
      <w:r>
        <w:rPr>
          <w:rFonts w:hint="eastAsia" w:cs="宋体" w:asciiTheme="minorEastAsia" w:hAnsiTheme="minorEastAsia" w:eastAsiaTheme="minorEastAsia"/>
          <w:color w:val="auto"/>
          <w:szCs w:val="21"/>
          <w:highlight w:val="none"/>
        </w:rPr>
        <w:t>磋商响应文件满足竞争性磋商文件全部实质性要求且按照评审因素的量化指标（即评审细则）得分最高的供应商为成交供应商。</w:t>
      </w:r>
    </w:p>
    <w:p w14:paraId="053B0406">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22.2 </w:t>
      </w:r>
      <w:r>
        <w:rPr>
          <w:rFonts w:hint="eastAsia" w:cs="宋体" w:asciiTheme="minorEastAsia" w:hAnsiTheme="minorEastAsia" w:eastAsiaTheme="minorEastAsia"/>
          <w:b/>
          <w:color w:val="auto"/>
          <w:szCs w:val="21"/>
          <w:highlight w:val="none"/>
          <w:u w:val="single"/>
        </w:rPr>
        <w:t>采购人授权磋商小组直接确定成交供应商。</w:t>
      </w:r>
    </w:p>
    <w:p w14:paraId="490CF597">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23.</w:t>
      </w:r>
      <w:r>
        <w:rPr>
          <w:rFonts w:hint="eastAsia" w:asciiTheme="minorEastAsia" w:hAnsiTheme="minorEastAsia" w:eastAsiaTheme="minorEastAsia"/>
          <w:bCs/>
          <w:color w:val="auto"/>
          <w:sz w:val="21"/>
          <w:szCs w:val="21"/>
          <w:highlight w:val="none"/>
        </w:rPr>
        <w:t>成交结果</w:t>
      </w:r>
      <w:r>
        <w:rPr>
          <w:rFonts w:hint="eastAsia" w:cs="宋体" w:asciiTheme="minorEastAsia" w:hAnsiTheme="minorEastAsia" w:eastAsiaTheme="minorEastAsia"/>
          <w:color w:val="auto"/>
          <w:sz w:val="21"/>
          <w:szCs w:val="21"/>
          <w:highlight w:val="none"/>
        </w:rPr>
        <w:t>及公示</w:t>
      </w:r>
    </w:p>
    <w:p w14:paraId="703D2A67">
      <w:pPr>
        <w:pStyle w:val="5"/>
        <w:overflowPunct w:val="0"/>
        <w:spacing w:line="360" w:lineRule="exact"/>
        <w:ind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代理机构将成交结果在原公告媒体上予以公告。公告期限为公告发布之日起1个工作日。</w:t>
      </w:r>
    </w:p>
    <w:p w14:paraId="57885F2C">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24.成交通知书</w:t>
      </w:r>
    </w:p>
    <w:p w14:paraId="33E2A32A">
      <w:pPr>
        <w:pStyle w:val="5"/>
        <w:overflowPunct w:val="0"/>
        <w:spacing w:line="360" w:lineRule="exact"/>
        <w:ind w:firstLineChars="200"/>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color w:val="auto"/>
          <w:sz w:val="21"/>
          <w:szCs w:val="21"/>
          <w:highlight w:val="none"/>
        </w:rPr>
        <w:t>24.1 成交结果确定后，代理机构将向成交供应商发出成交通知书。</w:t>
      </w:r>
    </w:p>
    <w:p w14:paraId="3C73A6AD">
      <w:pPr>
        <w:pStyle w:val="5"/>
        <w:overflowPunct w:val="0"/>
        <w:spacing w:line="360" w:lineRule="exact"/>
        <w:ind w:firstLineChars="200"/>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color w:val="auto"/>
          <w:sz w:val="21"/>
          <w:szCs w:val="21"/>
          <w:highlight w:val="none"/>
        </w:rPr>
        <w:t>24.2 成交通知书对采购人和成交供应商具有法律约束力。成交通知书发出后，采购人改变成交结果或者成交供应商放弃成交资格，均应当承担相应的法律责任，且不影响成交服务费的支付。</w:t>
      </w:r>
    </w:p>
    <w:p w14:paraId="0871A22B">
      <w:pPr>
        <w:pStyle w:val="5"/>
        <w:overflowPunct w:val="0"/>
        <w:spacing w:line="360" w:lineRule="exact"/>
        <w:ind w:firstLineChars="200"/>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color w:val="auto"/>
          <w:sz w:val="21"/>
          <w:szCs w:val="21"/>
          <w:highlight w:val="none"/>
        </w:rPr>
        <w:t>24.3 代理机构及采购人对未成交供应商不承担解释未成交原因的义务。</w:t>
      </w:r>
    </w:p>
    <w:p w14:paraId="248403AB">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25.代理机构服务费</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9"/>
        <w:gridCol w:w="3721"/>
      </w:tblGrid>
      <w:tr w14:paraId="2890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6" w:type="pct"/>
          </w:tcPr>
          <w:p w14:paraId="6146D771">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中标金额</w:t>
            </w:r>
          </w:p>
        </w:tc>
        <w:tc>
          <w:tcPr>
            <w:tcW w:w="2183" w:type="pct"/>
            <w:vAlign w:val="center"/>
          </w:tcPr>
          <w:p w14:paraId="17B125DE">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服务费金额</w:t>
            </w:r>
          </w:p>
        </w:tc>
      </w:tr>
      <w:tr w14:paraId="33FC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7BC19C8">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10万元（不含）以下</w:t>
            </w:r>
          </w:p>
        </w:tc>
        <w:tc>
          <w:tcPr>
            <w:tcW w:w="2183" w:type="pct"/>
          </w:tcPr>
          <w:p w14:paraId="2676C209">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1000</w:t>
            </w:r>
            <w:r>
              <w:rPr>
                <w:rFonts w:hint="eastAsia" w:asciiTheme="minorEastAsia" w:hAnsiTheme="minorEastAsia" w:eastAsiaTheme="minorEastAsia" w:cstheme="minorEastAsia"/>
                <w:bCs/>
                <w:color w:val="auto"/>
                <w:szCs w:val="21"/>
                <w:highlight w:val="none"/>
              </w:rPr>
              <w:t>元</w:t>
            </w:r>
          </w:p>
        </w:tc>
      </w:tr>
      <w:tr w14:paraId="265B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8C2AA1E">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10万元（含）至20万元（不含）</w:t>
            </w:r>
          </w:p>
        </w:tc>
        <w:tc>
          <w:tcPr>
            <w:tcW w:w="2183" w:type="pct"/>
          </w:tcPr>
          <w:p w14:paraId="72598141">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1500</w:t>
            </w:r>
            <w:r>
              <w:rPr>
                <w:rFonts w:hint="eastAsia" w:asciiTheme="minorEastAsia" w:hAnsiTheme="minorEastAsia" w:eastAsiaTheme="minorEastAsia" w:cstheme="minorEastAsia"/>
                <w:bCs/>
                <w:color w:val="auto"/>
                <w:szCs w:val="21"/>
                <w:highlight w:val="none"/>
              </w:rPr>
              <w:t>元</w:t>
            </w:r>
          </w:p>
        </w:tc>
      </w:tr>
      <w:tr w14:paraId="2F40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319572DA">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20万元（含）至30万元（不含）</w:t>
            </w:r>
          </w:p>
        </w:tc>
        <w:tc>
          <w:tcPr>
            <w:tcW w:w="2183" w:type="pct"/>
          </w:tcPr>
          <w:p w14:paraId="73AA52E2">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2000</w:t>
            </w:r>
            <w:r>
              <w:rPr>
                <w:rFonts w:hint="eastAsia" w:asciiTheme="minorEastAsia" w:hAnsiTheme="minorEastAsia" w:eastAsiaTheme="minorEastAsia" w:cstheme="minorEastAsia"/>
                <w:bCs/>
                <w:color w:val="auto"/>
                <w:szCs w:val="21"/>
                <w:highlight w:val="none"/>
              </w:rPr>
              <w:t>元</w:t>
            </w:r>
          </w:p>
        </w:tc>
      </w:tr>
    </w:tbl>
    <w:p w14:paraId="5EE92C0B">
      <w:pPr>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服务费按照上述标准收取并</w:t>
      </w:r>
      <w:r>
        <w:rPr>
          <w:rFonts w:ascii="宋体" w:hAnsi="宋体" w:cs="宋体"/>
          <w:b/>
          <w:color w:val="auto"/>
          <w:szCs w:val="21"/>
          <w:highlight w:val="none"/>
        </w:rPr>
        <w:t>由成交供应商承担</w:t>
      </w:r>
      <w:r>
        <w:rPr>
          <w:rFonts w:hint="eastAsia" w:ascii="宋体" w:hAnsi="宋体" w:cs="宋体"/>
          <w:b/>
          <w:color w:val="auto"/>
          <w:szCs w:val="21"/>
          <w:highlight w:val="none"/>
        </w:rPr>
        <w:t>，成交供应商应在领取成交通知书时将代理机构服务费付至常州市城投建设工程招标有限公司账户。</w:t>
      </w:r>
    </w:p>
    <w:p w14:paraId="4CD54ACA">
      <w:pPr>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收款单位：常州市城投建设工程招标有限公司</w:t>
      </w:r>
    </w:p>
    <w:p w14:paraId="765D1C96">
      <w:pPr>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开户银行：中国建设银行常州大成苑支行</w:t>
      </w:r>
    </w:p>
    <w:p w14:paraId="51493310">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银行账号：32001624236052500905</w:t>
      </w:r>
    </w:p>
    <w:p w14:paraId="12745E4F">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26.合同的签订</w:t>
      </w:r>
    </w:p>
    <w:p w14:paraId="7C23DCBD">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26.1 成交供应商应在成交通知书发出之日起三十日内与采购人签订合同，由此</w:t>
      </w:r>
      <w:r>
        <w:rPr>
          <w:rFonts w:hint="eastAsia" w:cs="宋体" w:asciiTheme="minorEastAsia" w:hAnsiTheme="minorEastAsia" w:eastAsiaTheme="minorEastAsia"/>
          <w:color w:val="auto"/>
          <w:szCs w:val="21"/>
          <w:highlight w:val="none"/>
        </w:rPr>
        <w:t>给采购人造成损失的，成交供应商还应承担赔偿责任。</w:t>
      </w:r>
    </w:p>
    <w:p w14:paraId="7E251ADD">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26.2磋商文件、成交供应商的磋商响应文件及磋商过程中有关澄清、承诺文件均应作为合同附件。</w:t>
      </w:r>
    </w:p>
    <w:p w14:paraId="6277022E">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26.3 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1D08BF64">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26.4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hint="eastAsia" w:cs="宋体" w:asciiTheme="minorEastAsia" w:hAnsiTheme="minorEastAsia" w:eastAsiaTheme="minorEastAsia"/>
          <w:color w:val="auto"/>
          <w:szCs w:val="21"/>
          <w:highlight w:val="none"/>
          <w:shd w:val="clear" w:color="auto" w:fill="FFFFFF"/>
        </w:rPr>
        <w:t>可以按照评审报告推荐的成交候选人名单排序，确定下一候选人为成交供应商，也可</w:t>
      </w:r>
      <w:r>
        <w:rPr>
          <w:rFonts w:hint="eastAsia" w:cs="宋体" w:asciiTheme="minorEastAsia" w:hAnsiTheme="minorEastAsia" w:eastAsiaTheme="minorEastAsia"/>
          <w:color w:val="auto"/>
          <w:szCs w:val="21"/>
          <w:highlight w:val="none"/>
          <w:shd w:val="clear" w:color="auto" w:fill="FFFFFF"/>
        </w:rPr>
        <w:t>以重新开展采购活动。</w:t>
      </w:r>
    </w:p>
    <w:p w14:paraId="4ABA7939">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26.5合同履行中，采购人需追加与合同标的相同的货物或服务的，在不改变合同其他条款的前提下，可以与成交供应商协商签订补充合同，但所有补充合同的采购金额不超过原合同金额10%。</w:t>
      </w:r>
    </w:p>
    <w:p w14:paraId="5E75C30F">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27. 诚实信用</w:t>
      </w:r>
    </w:p>
    <w:p w14:paraId="666973BC">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若有充分证据证明，成交供应商出现下列情况之一的，一经查实，将被取消成交资格：</w:t>
      </w:r>
    </w:p>
    <w:p w14:paraId="438FE5E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27.1 提供虚假材料谋取成交的；</w:t>
      </w:r>
    </w:p>
    <w:p w14:paraId="365A0B8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27.2 向采购人、代理机构行贿或者提供其他不正当利益的。</w:t>
      </w:r>
    </w:p>
    <w:p w14:paraId="4F1695F0">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27.3 恶意竞争，磋商总报价明显低于其自身合理成本且又无法提供证明的。</w:t>
      </w:r>
    </w:p>
    <w:p w14:paraId="3CCBC17D">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27.4 属于本文件规定的无效条件，但在评审过程中又未被磋商小组发现的。</w:t>
      </w:r>
    </w:p>
    <w:p w14:paraId="3DB3457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27.5 与采购人或者其他供应商恶意串通的。</w:t>
      </w:r>
    </w:p>
    <w:p w14:paraId="7F25EC1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27.6 采取不正当手段诋毁、排挤其他供应商的。</w:t>
      </w:r>
    </w:p>
    <w:p w14:paraId="16E68C26">
      <w:pPr>
        <w:pStyle w:val="5"/>
        <w:overflowPunct w:val="0"/>
        <w:spacing w:line="360" w:lineRule="exact"/>
        <w:ind w:firstLineChars="200"/>
        <w:rPr>
          <w:rFonts w:hAnsi="宋体" w:cs="宋体"/>
          <w:color w:val="auto"/>
          <w:sz w:val="21"/>
          <w:szCs w:val="21"/>
          <w:highlight w:val="none"/>
        </w:rPr>
      </w:pPr>
      <w:r>
        <w:rPr>
          <w:rFonts w:hint="eastAsia" w:hAnsi="宋体" w:cs="宋体"/>
          <w:color w:val="auto"/>
          <w:sz w:val="21"/>
          <w:szCs w:val="21"/>
          <w:highlight w:val="none"/>
        </w:rPr>
        <w:t>27.7 不符合法律、法规的规定的。</w:t>
      </w:r>
    </w:p>
    <w:p w14:paraId="0D4D0600">
      <w:pPr>
        <w:spacing w:line="360" w:lineRule="exact"/>
        <w:ind w:firstLine="420" w:firstLineChars="200"/>
        <w:rPr>
          <w:rFonts w:ascii="宋体" w:hAnsi="宋体" w:cs="宋体"/>
          <w:color w:val="auto"/>
          <w:szCs w:val="21"/>
          <w:highlight w:val="none"/>
        </w:rPr>
      </w:pPr>
    </w:p>
    <w:p w14:paraId="124C967E">
      <w:pPr>
        <w:spacing w:line="360" w:lineRule="exact"/>
        <w:ind w:firstLine="420" w:firstLineChars="200"/>
        <w:rPr>
          <w:rFonts w:ascii="宋体" w:hAnsi="宋体" w:cs="宋体"/>
          <w:color w:val="auto"/>
          <w:szCs w:val="21"/>
          <w:highlight w:val="none"/>
        </w:rPr>
      </w:pPr>
    </w:p>
    <w:p w14:paraId="0B138542">
      <w:pPr>
        <w:spacing w:line="360" w:lineRule="exact"/>
        <w:ind w:firstLine="420" w:firstLineChars="200"/>
        <w:rPr>
          <w:rFonts w:ascii="宋体" w:hAnsi="宋体" w:cs="宋体"/>
          <w:color w:val="auto"/>
          <w:szCs w:val="21"/>
          <w:highlight w:val="none"/>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720" w:num="1"/>
          <w:docGrid w:type="lines" w:linePitch="312" w:charSpace="0"/>
        </w:sectPr>
      </w:pPr>
    </w:p>
    <w:p w14:paraId="041C9D0B">
      <w:pPr>
        <w:pStyle w:val="2"/>
        <w:rPr>
          <w:rFonts w:ascii="宋体" w:hAnsi="宋体" w:cs="宋体"/>
          <w:color w:val="auto"/>
          <w:highlight w:val="none"/>
        </w:rPr>
      </w:pPr>
      <w:bookmarkStart w:id="2" w:name="_Toc17537928"/>
      <w:r>
        <w:rPr>
          <w:rFonts w:hint="eastAsia" w:ascii="宋体" w:hAnsi="宋体" w:cs="宋体"/>
          <w:color w:val="auto"/>
          <w:highlight w:val="none"/>
        </w:rPr>
        <w:t>第二章  采购项目及技术要求</w:t>
      </w:r>
      <w:bookmarkEnd w:id="2"/>
    </w:p>
    <w:p w14:paraId="585998ED">
      <w:pPr>
        <w:keepNext w:val="0"/>
        <w:keepLines w:val="0"/>
        <w:pageBreakBefore w:val="0"/>
        <w:widowControl/>
        <w:kinsoku/>
        <w:wordWrap/>
        <w:overflowPunct/>
        <w:topLinePunct w:val="0"/>
        <w:autoSpaceDE/>
        <w:autoSpaceDN/>
        <w:bidi w:val="0"/>
        <w:adjustRightInd/>
        <w:snapToGrid/>
        <w:spacing w:line="360" w:lineRule="exact"/>
        <w:ind w:firstLine="422" w:firstLineChars="200"/>
        <w:jc w:val="both"/>
        <w:textAlignment w:val="auto"/>
        <w:outlineLvl w:val="9"/>
        <w:rPr>
          <w:rFonts w:hint="eastAsia" w:ascii="宋体" w:hAnsi="宋体" w:eastAsia="宋体" w:cs="宋体"/>
          <w:color w:val="auto"/>
          <w:kern w:val="0"/>
          <w:sz w:val="21"/>
          <w:szCs w:val="21"/>
          <w:highlight w:val="none"/>
        </w:rPr>
      </w:pPr>
      <w:bookmarkStart w:id="3" w:name="_Toc26780879"/>
      <w:r>
        <w:rPr>
          <w:rFonts w:hint="eastAsia" w:ascii="宋体" w:hAnsi="宋体" w:eastAsia="宋体" w:cs="宋体"/>
          <w:b/>
          <w:color w:val="auto"/>
          <w:kern w:val="0"/>
          <w:sz w:val="21"/>
          <w:szCs w:val="21"/>
          <w:highlight w:val="none"/>
          <w:lang w:val="en-US" w:eastAsia="zh-CN"/>
        </w:rPr>
        <w:t>一、</w:t>
      </w:r>
      <w:r>
        <w:rPr>
          <w:rFonts w:hint="eastAsia" w:ascii="宋体" w:hAnsi="宋体" w:eastAsia="宋体" w:cs="宋体"/>
          <w:b/>
          <w:color w:val="auto"/>
          <w:kern w:val="0"/>
          <w:sz w:val="21"/>
          <w:szCs w:val="21"/>
          <w:highlight w:val="none"/>
        </w:rPr>
        <w:t>项目服务范围</w:t>
      </w:r>
    </w:p>
    <w:p w14:paraId="0E607033">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本项目服务范围包括</w:t>
      </w:r>
      <w:r>
        <w:rPr>
          <w:rFonts w:hint="eastAsia" w:ascii="宋体" w:hAnsi="宋体" w:eastAsia="宋体" w:cs="宋体"/>
          <w:color w:val="auto"/>
          <w:kern w:val="0"/>
          <w:sz w:val="21"/>
          <w:szCs w:val="21"/>
          <w:highlight w:val="none"/>
          <w:lang w:val="en-US" w:eastAsia="zh-CN"/>
        </w:rPr>
        <w:t>两</w:t>
      </w:r>
      <w:r>
        <w:rPr>
          <w:rFonts w:hint="eastAsia" w:ascii="宋体" w:hAnsi="宋体" w:eastAsia="宋体" w:cs="宋体"/>
          <w:color w:val="auto"/>
          <w:kern w:val="0"/>
          <w:sz w:val="21"/>
          <w:szCs w:val="21"/>
          <w:highlight w:val="none"/>
        </w:rPr>
        <w:t>部分内容：2025年度科技信息化建设项目、2026年度科技装备项目。</w:t>
      </w:r>
      <w:bookmarkEnd w:id="3"/>
    </w:p>
    <w:p w14:paraId="2C098116">
      <w:pPr>
        <w:keepNext w:val="0"/>
        <w:keepLines w:val="0"/>
        <w:pageBreakBefore w:val="0"/>
        <w:widowControl/>
        <w:kinsoku/>
        <w:wordWrap/>
        <w:overflowPunct/>
        <w:topLinePunct w:val="0"/>
        <w:autoSpaceDE/>
        <w:autoSpaceDN/>
        <w:bidi w:val="0"/>
        <w:adjustRightInd/>
        <w:snapToGrid/>
        <w:spacing w:line="360" w:lineRule="exact"/>
        <w:ind w:firstLine="422" w:firstLineChars="200"/>
        <w:jc w:val="both"/>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color w:val="auto"/>
          <w:sz w:val="21"/>
          <w:szCs w:val="21"/>
          <w:highlight w:val="none"/>
          <w:lang w:val="zh-CN"/>
        </w:rPr>
        <w:t>二、服务内容</w:t>
      </w:r>
    </w:p>
    <w:p w14:paraId="419568FD">
      <w:pPr>
        <w:keepNext w:val="0"/>
        <w:keepLines w:val="0"/>
        <w:pageBreakBefore w:val="0"/>
        <w:widowControl/>
        <w:kinsoku/>
        <w:wordWrap/>
        <w:overflowPunct/>
        <w:topLinePunct w:val="0"/>
        <w:autoSpaceDE/>
        <w:autoSpaceDN/>
        <w:bidi w:val="0"/>
        <w:adjustRightInd/>
        <w:snapToGrid/>
        <w:spacing w:line="360" w:lineRule="exact"/>
        <w:ind w:firstLine="422" w:firstLineChars="200"/>
        <w:jc w:val="both"/>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2.1 2025年度科技信息化建设项目监理</w:t>
      </w:r>
    </w:p>
    <w:p w14:paraId="720BFE8A">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bookmarkStart w:id="4" w:name="_Toc26780882"/>
      <w:r>
        <w:rPr>
          <w:rFonts w:hint="eastAsia" w:ascii="宋体" w:hAnsi="宋体" w:eastAsia="宋体" w:cs="宋体"/>
          <w:color w:val="auto"/>
          <w:sz w:val="21"/>
          <w:szCs w:val="21"/>
          <w:highlight w:val="none"/>
        </w:rPr>
        <w:t>纳入集中监理范围的常州市公安局2025年建设项目数量为4个，涉及资金约为2346万元。</w:t>
      </w:r>
      <w:bookmarkEnd w:id="4"/>
    </w:p>
    <w:p w14:paraId="0F0C028C">
      <w:pPr>
        <w:keepNext w:val="0"/>
        <w:keepLines w:val="0"/>
        <w:pageBreakBefore w:val="0"/>
        <w:widowControl/>
        <w:kinsoku/>
        <w:wordWrap/>
        <w:overflowPunct/>
        <w:topLinePunct w:val="0"/>
        <w:autoSpaceDE/>
        <w:autoSpaceDN/>
        <w:bidi w:val="0"/>
        <w:adjustRightInd/>
        <w:snapToGrid/>
        <w:spacing w:line="360" w:lineRule="exact"/>
        <w:ind w:firstLine="422" w:firstLineChars="200"/>
        <w:jc w:val="both"/>
        <w:textAlignment w:val="auto"/>
        <w:outlineLvl w:val="9"/>
        <w:rPr>
          <w:rFonts w:hint="eastAsia" w:ascii="宋体" w:hAnsi="宋体" w:eastAsia="宋体" w:cs="宋体"/>
          <w:b/>
          <w:color w:val="auto"/>
          <w:kern w:val="0"/>
          <w:sz w:val="21"/>
          <w:szCs w:val="21"/>
          <w:highlight w:val="none"/>
        </w:rPr>
      </w:pPr>
      <w:bookmarkStart w:id="5" w:name="_Toc26780883"/>
      <w:bookmarkEnd w:id="5"/>
      <w:bookmarkStart w:id="6" w:name="_Toc26780884"/>
      <w:r>
        <w:rPr>
          <w:rFonts w:hint="eastAsia" w:ascii="宋体" w:hAnsi="宋体" w:eastAsia="宋体" w:cs="宋体"/>
          <w:b/>
          <w:color w:val="auto"/>
          <w:kern w:val="0"/>
          <w:sz w:val="21"/>
          <w:szCs w:val="21"/>
          <w:highlight w:val="none"/>
        </w:rPr>
        <w:t>2.1.1监理工作要求</w:t>
      </w:r>
    </w:p>
    <w:p w14:paraId="0E67542F">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监理方应按照《信息技术服务监理》（GB/T 19668）及国家、省、市信息项目建设监理的有关文件和规范，按照项目建设目标和要求，采用适合本项目特点的项目管理措施和方法，对项目进行全过程监理。内容包括对质量、投资、进度、变更进行控制，对合同、信息、知识产权、文档进行管理，对多方关系进行协调等。</w:t>
      </w:r>
    </w:p>
    <w:p w14:paraId="4B3CAB7C">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按照“四控制、三管理、一协调”的原则，保证项目在规定时间内完成，并实现项目建设目标。</w:t>
      </w:r>
    </w:p>
    <w:p w14:paraId="29095764">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1、项目启动阶段</w:t>
      </w:r>
    </w:p>
    <w:p w14:paraId="5FFD4DD5">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（1）分析项目建设方案、招投标文件及项目合同，制定针对性监理计划；</w:t>
      </w:r>
    </w:p>
    <w:p w14:paraId="71F2F33C">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（2）审核承建单位项目实施方案及项目保障计划；</w:t>
      </w:r>
    </w:p>
    <w:p w14:paraId="7A876B52">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（3）了解承建单位项目启动准备情况；</w:t>
      </w:r>
    </w:p>
    <w:p w14:paraId="2FFFE7E3">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（4）组织项目启动会议，宣贯科技项目管理要求、信息安全管理要求及各类项目事件的处置流程；</w:t>
      </w:r>
    </w:p>
    <w:p w14:paraId="4DBE8BF6">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（5）签发项目开工令。</w:t>
      </w:r>
    </w:p>
    <w:p w14:paraId="253408AB">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2、实施阶段</w:t>
      </w:r>
    </w:p>
    <w:p w14:paraId="3C4EE777">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（1）根据项目类型，在监理过程中根据科技项目管理要求设置质量、进度控制点，确保整体项目推进进度；</w:t>
      </w:r>
    </w:p>
    <w:p w14:paraId="0C692C61">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（2）确保项目产品和服务符合合同及国家法律、法规和标准；</w:t>
      </w:r>
    </w:p>
    <w:p w14:paraId="3F44D259">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（3）确保实施过程满足合同要求，符合实施方案、计划；</w:t>
      </w:r>
    </w:p>
    <w:p w14:paraId="6E2D054D">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（4）定期汇总项目信息，为科技管理部门推进项目建设提供决策依据。</w:t>
      </w:r>
    </w:p>
    <w:p w14:paraId="709462DD">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3、试运行阶段</w:t>
      </w:r>
    </w:p>
    <w:p w14:paraId="570C6E39">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（1）监查系统试运行情况，记录系统试运行数据；</w:t>
      </w:r>
    </w:p>
    <w:p w14:paraId="597D2D8F">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（2）记录试运行期系统调整、优化情况，出现重大变动的应执行项目变更程序；</w:t>
      </w:r>
    </w:p>
    <w:p w14:paraId="7A69E599">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（3）记录试运行期间系统出现的质量问题，并督促相关单位解决。问题解决后，进行二次监测。</w:t>
      </w:r>
    </w:p>
    <w:p w14:paraId="318512BB">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（4）持续跟进系统使用反馈情况，阶段性汇总上报科技管理部门。</w:t>
      </w:r>
    </w:p>
    <w:p w14:paraId="5C9C574E">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4、验收阶段</w:t>
      </w:r>
    </w:p>
    <w:p w14:paraId="7AF956C9">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（1）审核测试验收方案的符合性和可行性；</w:t>
      </w:r>
    </w:p>
    <w:p w14:paraId="216A7215">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（2）确保最终功能和性能符合合同要求；</w:t>
      </w:r>
    </w:p>
    <w:p w14:paraId="62DEF239">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（3）确保承建单位各阶段技术、管理文档种类和内容符合科技项目管理要求。</w:t>
      </w:r>
    </w:p>
    <w:p w14:paraId="35AC7D0D">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（4）根据科技项目管理要求完成材料上报和归档工作； </w:t>
      </w:r>
    </w:p>
    <w:p w14:paraId="36CD7DEB">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5、工程结束后的移交</w:t>
      </w:r>
    </w:p>
    <w:p w14:paraId="4E8AC2DD">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（1）移交系统设计方案、设计图纸；</w:t>
      </w:r>
    </w:p>
    <w:p w14:paraId="2E4608E5">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（2）移交设备、软件、材料等验收文档；</w:t>
      </w:r>
    </w:p>
    <w:p w14:paraId="404A2D82">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（3）移交项目实施文档；</w:t>
      </w:r>
    </w:p>
    <w:p w14:paraId="57830D46">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（4）移交项目竣工文档；</w:t>
      </w:r>
    </w:p>
    <w:p w14:paraId="2E849617">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（5）整体项目移交。</w:t>
      </w:r>
    </w:p>
    <w:bookmarkEnd w:id="6"/>
    <w:p w14:paraId="627BCC05">
      <w:pPr>
        <w:keepNext w:val="0"/>
        <w:keepLines w:val="0"/>
        <w:pageBreakBefore w:val="0"/>
        <w:widowControl/>
        <w:kinsoku/>
        <w:wordWrap/>
        <w:overflowPunct/>
        <w:topLinePunct w:val="0"/>
        <w:autoSpaceDE/>
        <w:autoSpaceDN/>
        <w:bidi w:val="0"/>
        <w:adjustRightInd/>
        <w:snapToGrid/>
        <w:spacing w:line="360" w:lineRule="exact"/>
        <w:ind w:firstLine="422"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2.1.2监理具体工作</w:t>
      </w:r>
    </w:p>
    <w:p w14:paraId="64BD2745">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1、资料准备</w:t>
      </w:r>
    </w:p>
    <w:p w14:paraId="7F65958E">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根据工程规划方案，编制详细、可行的监理实施方案</w:t>
      </w:r>
    </w:p>
    <w:p w14:paraId="737DB0BF">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2、质量控制</w:t>
      </w:r>
    </w:p>
    <w:p w14:paraId="2AE4D688">
      <w:pPr>
        <w:pStyle w:val="57"/>
        <w:keepNext w:val="0"/>
        <w:keepLines w:val="0"/>
        <w:pageBreakBefore w:val="0"/>
        <w:numPr>
          <w:ilvl w:val="0"/>
          <w:numId w:val="1"/>
        </w:numPr>
        <w:kinsoku/>
        <w:wordWrap/>
        <w:overflowPunct/>
        <w:topLinePunct w:val="0"/>
        <w:autoSpaceDE/>
        <w:autoSpaceDN/>
        <w:bidi w:val="0"/>
        <w:adjustRightInd/>
        <w:snapToGrid/>
        <w:spacing w:line="360" w:lineRule="exact"/>
        <w:ind w:left="0" w:firstLine="422" w:firstLineChars="200"/>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系统集成质量的控制</w:t>
      </w:r>
    </w:p>
    <w:p w14:paraId="78F3E5FE">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（1）审核和确认系统集成方案；</w:t>
      </w:r>
    </w:p>
    <w:p w14:paraId="6B32014E">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（2）审核设备；</w:t>
      </w:r>
    </w:p>
    <w:p w14:paraId="3A48D18A">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（3）对软硬件设备质量进行检验、测试和验收；</w:t>
      </w:r>
    </w:p>
    <w:p w14:paraId="5AD32B1C">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（4）旁站设备、系统软件的安装调试；</w:t>
      </w:r>
    </w:p>
    <w:p w14:paraId="78E210A9">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（5）对系统集成进行总体验收。</w:t>
      </w:r>
    </w:p>
    <w:p w14:paraId="772F64E2">
      <w:pPr>
        <w:pStyle w:val="57"/>
        <w:keepNext w:val="0"/>
        <w:keepLines w:val="0"/>
        <w:pageBreakBefore w:val="0"/>
        <w:numPr>
          <w:ilvl w:val="0"/>
          <w:numId w:val="1"/>
        </w:numPr>
        <w:kinsoku/>
        <w:wordWrap/>
        <w:overflowPunct/>
        <w:topLinePunct w:val="0"/>
        <w:autoSpaceDE/>
        <w:autoSpaceDN/>
        <w:bidi w:val="0"/>
        <w:adjustRightInd/>
        <w:snapToGrid/>
        <w:spacing w:line="360" w:lineRule="exact"/>
        <w:ind w:left="0" w:firstLine="422" w:firstLineChars="200"/>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应用软件开发质量的控制</w:t>
      </w:r>
    </w:p>
    <w:p w14:paraId="5A1B1A55">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（1）应用软件开发阶段性计划审核和确认；</w:t>
      </w:r>
    </w:p>
    <w:p w14:paraId="7792D58A">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（2）在对项目建设详细了解的基础上，协助项目设计单位、系统集成单位和</w:t>
      </w:r>
      <w:r>
        <w:rPr>
          <w:rFonts w:hint="eastAsia" w:ascii="宋体" w:hAnsi="宋体" w:eastAsia="宋体" w:cs="宋体"/>
          <w:color w:val="auto"/>
          <w:kern w:val="0"/>
          <w:sz w:val="21"/>
          <w:szCs w:val="21"/>
          <w:highlight w:val="none"/>
        </w:rPr>
        <w:t>业主单位</w:t>
      </w:r>
      <w:r>
        <w:rPr>
          <w:rFonts w:hint="eastAsia" w:ascii="宋体" w:hAnsi="宋体" w:eastAsia="宋体" w:cs="宋体"/>
          <w:color w:val="auto"/>
          <w:sz w:val="21"/>
          <w:szCs w:val="21"/>
          <w:highlight w:val="none"/>
        </w:rPr>
        <w:t>，对应用软件的需求分析、详细设计、安装调试、试运行进行把关；</w:t>
      </w:r>
    </w:p>
    <w:p w14:paraId="186D61F0">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（3）对源代码、开发文件进行移交验收；</w:t>
      </w:r>
    </w:p>
    <w:p w14:paraId="1F1F0353">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（4）跟进系统市局信息安全相关检测情况。</w:t>
      </w:r>
    </w:p>
    <w:p w14:paraId="5579F7A3">
      <w:pPr>
        <w:pStyle w:val="57"/>
        <w:keepNext w:val="0"/>
        <w:keepLines w:val="0"/>
        <w:pageBreakBefore w:val="0"/>
        <w:numPr>
          <w:ilvl w:val="0"/>
          <w:numId w:val="1"/>
        </w:numPr>
        <w:kinsoku/>
        <w:wordWrap/>
        <w:overflowPunct/>
        <w:topLinePunct w:val="0"/>
        <w:autoSpaceDE/>
        <w:autoSpaceDN/>
        <w:bidi w:val="0"/>
        <w:adjustRightInd/>
        <w:snapToGrid/>
        <w:spacing w:line="360" w:lineRule="exact"/>
        <w:ind w:left="0" w:firstLine="422" w:firstLineChars="200"/>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项目培训的质量控制</w:t>
      </w:r>
    </w:p>
    <w:p w14:paraId="5B9D3406">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（1）审核确认承建单位培训计划；</w:t>
      </w:r>
    </w:p>
    <w:p w14:paraId="32C557CC">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（2）监督承建单位实施培训，征求用户反馈意见并评估培训效果；</w:t>
      </w:r>
    </w:p>
    <w:p w14:paraId="58D850CE">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3、进度控制</w:t>
      </w:r>
    </w:p>
    <w:p w14:paraId="13D4BCC5">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（1）审核承建单位进度分解计划，确保分解计划符合总体计划目标；</w:t>
      </w:r>
    </w:p>
    <w:p w14:paraId="566C1DEB">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（2）审查承建单位进度计划，提醒承建单位考虑科技项目管理相关要求所需的对接、测试时间；</w:t>
      </w:r>
    </w:p>
    <w:p w14:paraId="5AAF0004">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（3）对项目实施进度进行跟踪，要求承建单位对进度计划进行动态调整，以确保项目阶段和总体进度目标的实现；</w:t>
      </w:r>
    </w:p>
    <w:p w14:paraId="2D3D8CFE">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（4）当工期目标严重偏离时，应及时指出，并提出对策建议，同时督促承建单位尽快采取措施。</w:t>
      </w:r>
    </w:p>
    <w:p w14:paraId="5DF3C6DA">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4、投资控制</w:t>
      </w:r>
    </w:p>
    <w:p w14:paraId="54606859">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（1）通过对工程实施中的方案及设计优化，确保投资控制在预算之内；</w:t>
      </w:r>
    </w:p>
    <w:p w14:paraId="126BBF10">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（2）协助业主单位做好项目支付预算的现金流量表。</w:t>
      </w:r>
    </w:p>
    <w:p w14:paraId="191AD88F">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5、变更控制及风险管理</w:t>
      </w:r>
    </w:p>
    <w:p w14:paraId="6D6254A1">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（1）根据常州市公安局科技项目管理规定，</w:t>
      </w:r>
      <w:r>
        <w:rPr>
          <w:rFonts w:hint="eastAsia" w:ascii="宋体" w:hAnsi="宋体" w:eastAsia="宋体" w:cs="宋体"/>
          <w:color w:val="auto"/>
          <w:sz w:val="21"/>
          <w:szCs w:val="21"/>
          <w:highlight w:val="none"/>
        </w:rPr>
        <w:t>严格按规程执行项目变更确认流程</w:t>
      </w:r>
      <w:r>
        <w:rPr>
          <w:rFonts w:hint="eastAsia" w:ascii="宋体" w:hAnsi="宋体" w:eastAsia="宋体" w:cs="宋体"/>
          <w:color w:val="auto"/>
          <w:kern w:val="0"/>
          <w:sz w:val="21"/>
          <w:szCs w:val="21"/>
          <w:highlight w:val="none"/>
        </w:rPr>
        <w:t>。</w:t>
      </w:r>
    </w:p>
    <w:p w14:paraId="7680AB13">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接受变更申请单位正式提出的变更申请</w:t>
      </w:r>
      <w:r>
        <w:rPr>
          <w:rFonts w:hint="eastAsia" w:ascii="宋体" w:hAnsi="宋体" w:eastAsia="宋体" w:cs="宋体"/>
          <w:color w:val="auto"/>
          <w:kern w:val="0"/>
          <w:sz w:val="21"/>
          <w:szCs w:val="21"/>
          <w:highlight w:val="none"/>
        </w:rPr>
        <w:t>。</w:t>
      </w:r>
    </w:p>
    <w:p w14:paraId="49713872">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对变更进行初审，判断变更的合理性和必要性，并对变更产生的费用、进度、质量等情况进行评估，提出监理意见；</w:t>
      </w:r>
    </w:p>
    <w:p w14:paraId="418A05D8">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（4）将变更情况汇总后上报科技项目管理部门，通过部门会审后执行项目变更程序；</w:t>
      </w:r>
    </w:p>
    <w:p w14:paraId="4B31A160">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（5）确认变更方案后，执行制定的变更程序，</w:t>
      </w:r>
      <w:r>
        <w:rPr>
          <w:rFonts w:hint="eastAsia" w:ascii="宋体" w:hAnsi="宋体" w:eastAsia="宋体" w:cs="宋体"/>
          <w:color w:val="auto"/>
          <w:sz w:val="21"/>
          <w:szCs w:val="21"/>
          <w:highlight w:val="none"/>
        </w:rPr>
        <w:t>监控变更的实施，</w:t>
      </w:r>
      <w:r>
        <w:rPr>
          <w:rFonts w:hint="eastAsia" w:ascii="宋体" w:hAnsi="宋体" w:eastAsia="宋体" w:cs="宋体"/>
          <w:color w:val="auto"/>
          <w:kern w:val="0"/>
          <w:sz w:val="21"/>
          <w:szCs w:val="21"/>
          <w:highlight w:val="none"/>
        </w:rPr>
        <w:t>对变更进行严格的控制。督促</w:t>
      </w:r>
      <w:r>
        <w:rPr>
          <w:rFonts w:hint="eastAsia" w:ascii="宋体" w:hAnsi="宋体" w:eastAsia="宋体" w:cs="宋体"/>
          <w:color w:val="auto"/>
          <w:sz w:val="21"/>
          <w:szCs w:val="21"/>
          <w:highlight w:val="none"/>
        </w:rPr>
        <w:t>承建单位</w:t>
      </w:r>
      <w:r>
        <w:rPr>
          <w:rFonts w:hint="eastAsia" w:ascii="宋体" w:hAnsi="宋体" w:eastAsia="宋体" w:cs="宋体"/>
          <w:color w:val="auto"/>
          <w:kern w:val="0"/>
          <w:sz w:val="21"/>
          <w:szCs w:val="21"/>
          <w:highlight w:val="none"/>
        </w:rPr>
        <w:t>及时更新项目相关文档。</w:t>
      </w:r>
    </w:p>
    <w:p w14:paraId="5DEA43AB">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在变更实施结束后，</w:t>
      </w:r>
      <w:r>
        <w:rPr>
          <w:rFonts w:hint="eastAsia" w:ascii="宋体" w:hAnsi="宋体" w:eastAsia="宋体" w:cs="宋体"/>
          <w:color w:val="auto"/>
          <w:kern w:val="0"/>
          <w:sz w:val="21"/>
          <w:szCs w:val="21"/>
          <w:highlight w:val="none"/>
        </w:rPr>
        <w:t>对变更执行效果进行检查。</w:t>
      </w:r>
      <w:r>
        <w:rPr>
          <w:rFonts w:hint="eastAsia" w:ascii="宋体" w:hAnsi="宋体" w:eastAsia="宋体" w:cs="宋体"/>
          <w:color w:val="auto"/>
          <w:kern w:val="0"/>
          <w:sz w:val="21"/>
          <w:szCs w:val="21"/>
          <w:highlight w:val="none"/>
        </w:rPr>
        <w:tab/>
      </w:r>
    </w:p>
    <w:p w14:paraId="7DB710FE">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6、合同管理</w:t>
      </w:r>
    </w:p>
    <w:p w14:paraId="5B1EE4BD">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（1）跟踪检查合同执行情况，确保承建单位按时履约；</w:t>
      </w:r>
    </w:p>
    <w:p w14:paraId="14F400A6">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（2）对合同工期的延误和延期进行审核确认；</w:t>
      </w:r>
    </w:p>
    <w:p w14:paraId="13DCBBC8">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（3）对合同变更、索赔等事宜进行审核确认；</w:t>
      </w:r>
    </w:p>
    <w:p w14:paraId="71F25A52">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7、信息管理/工程文档管理</w:t>
      </w:r>
    </w:p>
    <w:p w14:paraId="7829DACE">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（1）做好监理日记及工程大事记；</w:t>
      </w:r>
    </w:p>
    <w:p w14:paraId="6D2FCC04">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（2）做好合同批复等各类往来文件的批复与存档；</w:t>
      </w:r>
    </w:p>
    <w:p w14:paraId="3BAFD194">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（3）做好项目协调会、技术专题会的会议纪要；</w:t>
      </w:r>
    </w:p>
    <w:p w14:paraId="6920E6FA">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（4）管理好实施期间的各类技术文档；</w:t>
      </w:r>
    </w:p>
    <w:p w14:paraId="5AECDA69">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（5）项目月报（周报）；</w:t>
      </w:r>
    </w:p>
    <w:p w14:paraId="398C4ED6">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监理建议书和监理通知书存档</w:t>
      </w:r>
      <w:r>
        <w:rPr>
          <w:rFonts w:hint="eastAsia" w:ascii="宋体" w:hAnsi="宋体" w:eastAsia="宋体" w:cs="宋体"/>
          <w:color w:val="auto"/>
          <w:kern w:val="0"/>
          <w:sz w:val="21"/>
          <w:szCs w:val="21"/>
          <w:highlight w:val="none"/>
        </w:rPr>
        <w:t>；</w:t>
      </w:r>
    </w:p>
    <w:p w14:paraId="1DE2AEB3">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（7）各种会议纪要；</w:t>
      </w:r>
    </w:p>
    <w:p w14:paraId="3D031710">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（8）阶段性项目总结；</w:t>
      </w:r>
    </w:p>
    <w:p w14:paraId="4EDCA5EA">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（9）承建单位提交的技术文档；</w:t>
      </w:r>
    </w:p>
    <w:p w14:paraId="65279C61">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eastAsia="宋体" w:cs="宋体"/>
          <w:color w:val="auto"/>
          <w:sz w:val="21"/>
          <w:szCs w:val="21"/>
          <w:highlight w:val="none"/>
        </w:rPr>
        <w:t>审核承建单位所提供的项目各阶段形成的技术、管理文档的内容和种类符合相关标准；</w:t>
      </w:r>
    </w:p>
    <w:p w14:paraId="248EAF23">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（11）督促、审核项目承建单位向</w:t>
      </w:r>
      <w:r>
        <w:rPr>
          <w:rFonts w:hint="eastAsia" w:ascii="宋体" w:hAnsi="宋体" w:eastAsia="宋体" w:cs="宋体"/>
          <w:color w:val="auto"/>
          <w:kern w:val="0"/>
          <w:sz w:val="21"/>
          <w:szCs w:val="21"/>
          <w:highlight w:val="none"/>
        </w:rPr>
        <w:t>业主单位</w:t>
      </w:r>
      <w:r>
        <w:rPr>
          <w:rFonts w:hint="eastAsia" w:ascii="宋体" w:hAnsi="宋体" w:eastAsia="宋体" w:cs="宋体"/>
          <w:color w:val="auto"/>
          <w:sz w:val="21"/>
          <w:szCs w:val="21"/>
          <w:highlight w:val="none"/>
        </w:rPr>
        <w:t>按时提交项目竣工验收技术资料和相关文档，包括但不限于以下内容：承建单位的系统详细设计方案和施工图纸、用户手册、系统维护手册、系统配件清单等完整的技术资料及竣工验收文档书面材料和电子版材料；项目各阶段监理工作中形成的技术资料和相关文档。</w:t>
      </w:r>
    </w:p>
    <w:p w14:paraId="7E4B88E0">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8、安全管理</w:t>
      </w:r>
    </w:p>
    <w:p w14:paraId="5AEB6D6C">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（1）协助业主单位开展项目实施前安全教育培训、签订安全保密责任书等相关工作；</w:t>
      </w:r>
    </w:p>
    <w:p w14:paraId="1175DC5A">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（2）抽查承建单位施工安全执行情况。</w:t>
      </w:r>
    </w:p>
    <w:p w14:paraId="08D4414B">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9、工作协调</w:t>
      </w:r>
    </w:p>
    <w:p w14:paraId="1C4C9941">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负责协调本项目所涉及的各单位工作关系，并协调解决项目建设过程中的纠纷。监理方应通过会议制度来实施协调工作，主要会议包括不限于：</w:t>
      </w:r>
    </w:p>
    <w:p w14:paraId="736A6444">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（1）第一次现场会</w:t>
      </w:r>
    </w:p>
    <w:p w14:paraId="2FA6D2FA">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（2）监理交底会</w:t>
      </w:r>
    </w:p>
    <w:p w14:paraId="108A284D">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（3）周例会及业主单位组织的例会</w:t>
      </w:r>
    </w:p>
    <w:p w14:paraId="7A74F211">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（4）监理协调会</w:t>
      </w:r>
    </w:p>
    <w:p w14:paraId="7F62C188">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（5）专题讨论会</w:t>
      </w:r>
    </w:p>
    <w:p w14:paraId="5BE5B4CC">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（6）专家论证会</w:t>
      </w:r>
    </w:p>
    <w:p w14:paraId="2F4C7829">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（7）阶段工作总结会</w:t>
      </w:r>
    </w:p>
    <w:p w14:paraId="69BE6291">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（8）问题通报会</w:t>
      </w:r>
    </w:p>
    <w:p w14:paraId="765DCA45">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（9）分项的阶段验收及最终验收会</w:t>
      </w:r>
    </w:p>
    <w:p w14:paraId="1AC9BAD4">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 其他工作</w:t>
      </w:r>
    </w:p>
    <w:p w14:paraId="10943275">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（1）配合市局科技信息化项目管理部门在各项目实施阶段，对建设部门、承建单位进行常州市公安局科技信息化建设项目管理规定、实施细则及其他文件要求的传达工作，并督促予以落实。</w:t>
      </w:r>
    </w:p>
    <w:p w14:paraId="419B832F">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软件开发类项目在监理过程中，协助常州市公安局第三方软件测评单位顺利开展软件项目的测评工作，定期跟进测评进度；协助大数据管理支队及各项目建设方、施工方做好软件项目数据标准检测的相关协调工作。</w:t>
      </w:r>
    </w:p>
    <w:p w14:paraId="2838AC92">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（3）根据业主单位实际需求及安排，做好其他相关工作。</w:t>
      </w:r>
    </w:p>
    <w:p w14:paraId="73FFC503">
      <w:pPr>
        <w:widowControl/>
        <w:adjustRightInd w:val="0"/>
        <w:spacing w:line="360" w:lineRule="auto"/>
        <w:jc w:val="left"/>
        <w:rPr>
          <w:rFonts w:ascii="Times New Roman" w:hAnsi="Times New Roman"/>
          <w:color w:val="auto"/>
          <w:kern w:val="0"/>
          <w:sz w:val="24"/>
          <w:szCs w:val="24"/>
          <w:highlight w:val="none"/>
        </w:rPr>
      </w:pPr>
      <w:r>
        <w:rPr>
          <w:rFonts w:ascii="Times New Roman" w:hAnsi="Times New Roman"/>
          <w:b/>
          <w:color w:val="auto"/>
          <w:kern w:val="0"/>
          <w:sz w:val="24"/>
          <w:highlight w:val="none"/>
        </w:rPr>
        <w:t>2.1.3 监理服务成果</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2833"/>
        <w:gridCol w:w="4591"/>
      </w:tblGrid>
      <w:tr w14:paraId="0716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A071E5">
            <w:pPr>
              <w:widowControl/>
              <w:ind w:firstLine="602"/>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监理文档清单</w:t>
            </w:r>
          </w:p>
        </w:tc>
      </w:tr>
      <w:tr w14:paraId="286E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6653318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662" w:type="pct"/>
            <w:tcBorders>
              <w:top w:val="single" w:color="auto" w:sz="4" w:space="0"/>
              <w:left w:val="single" w:color="auto" w:sz="4" w:space="0"/>
              <w:bottom w:val="single" w:color="auto" w:sz="4" w:space="0"/>
              <w:right w:val="single" w:color="auto" w:sz="4" w:space="0"/>
            </w:tcBorders>
            <w:shd w:val="clear" w:color="auto" w:fill="auto"/>
            <w:vAlign w:val="center"/>
          </w:tcPr>
          <w:p w14:paraId="506EDB8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项目阶段</w:t>
            </w: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00084EE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文档名称</w:t>
            </w:r>
          </w:p>
        </w:tc>
      </w:tr>
      <w:tr w14:paraId="35EA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22DFE8C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C9A955">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项目启动</w:t>
            </w: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5B256367">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《项目管理制度》</w:t>
            </w:r>
          </w:p>
        </w:tc>
      </w:tr>
      <w:tr w14:paraId="251B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7CB1834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4124D863">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0FF5343B">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《项目组成员通讯录》</w:t>
            </w:r>
          </w:p>
        </w:tc>
      </w:tr>
      <w:tr w14:paraId="1B14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113EA5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011CA112">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188C9539">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《项目技术方案》</w:t>
            </w:r>
          </w:p>
        </w:tc>
      </w:tr>
      <w:tr w14:paraId="0729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1115D3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362E5922">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4867CC9F">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《工程质量保证计划》</w:t>
            </w:r>
          </w:p>
        </w:tc>
      </w:tr>
      <w:tr w14:paraId="757C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818C47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72C24107">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7142DC54">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《开工报审单》</w:t>
            </w:r>
          </w:p>
        </w:tc>
      </w:tr>
      <w:tr w14:paraId="6ED5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63CA7B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65443DF1">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0D015707">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《开工令》</w:t>
            </w:r>
          </w:p>
        </w:tc>
      </w:tr>
      <w:tr w14:paraId="72DD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824C56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8D650E">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需求调研</w:t>
            </w: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3130FB5C">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《需求规格说明书》</w:t>
            </w:r>
          </w:p>
        </w:tc>
      </w:tr>
      <w:tr w14:paraId="71A3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AED3D8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264BECF3">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25054FC2">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《项目技术方案》</w:t>
            </w:r>
          </w:p>
        </w:tc>
      </w:tr>
      <w:tr w14:paraId="748E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2F2D84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3A5EDBB7">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617082E9">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《项目进度计划》</w:t>
            </w:r>
          </w:p>
        </w:tc>
      </w:tr>
      <w:tr w14:paraId="74A2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D38C60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6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F02F75">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系统设计</w:t>
            </w: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18A9BBAE">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《数据库设计说明书》</w:t>
            </w:r>
          </w:p>
        </w:tc>
      </w:tr>
      <w:tr w14:paraId="278F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2CA25D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5ED7766D">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3DD20E29">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《概要设计说明书》</w:t>
            </w:r>
          </w:p>
        </w:tc>
      </w:tr>
      <w:tr w14:paraId="1E79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5AE54A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617A7698">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11A88976">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《详细设计说明书》</w:t>
            </w:r>
          </w:p>
        </w:tc>
      </w:tr>
      <w:tr w14:paraId="5191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D1C1F0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7316DB8E">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793D878E">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《软件编码规范》</w:t>
            </w:r>
          </w:p>
        </w:tc>
      </w:tr>
      <w:tr w14:paraId="259E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765152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7B63D369">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68713F36">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《系统部署方案》</w:t>
            </w:r>
          </w:p>
        </w:tc>
      </w:tr>
      <w:tr w14:paraId="1294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CAEDC8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6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1588E9">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系统测试</w:t>
            </w: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7866238F">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《测试方案》</w:t>
            </w:r>
          </w:p>
        </w:tc>
      </w:tr>
      <w:tr w14:paraId="2436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592BE3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3AB1268F">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7F0A2B56">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《测试报告》</w:t>
            </w:r>
          </w:p>
        </w:tc>
      </w:tr>
      <w:tr w14:paraId="627E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695429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16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74A7C3">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系统初验</w:t>
            </w: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6B216146">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《项目初验文档》</w:t>
            </w:r>
          </w:p>
        </w:tc>
      </w:tr>
      <w:tr w14:paraId="44E1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68A9A50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51932EF7">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448B3B1C">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《初验意见》</w:t>
            </w:r>
          </w:p>
        </w:tc>
      </w:tr>
      <w:tr w14:paraId="231B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5D0589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16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69434A">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系统试运行</w:t>
            </w: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6888CD06">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《试运行报告》</w:t>
            </w:r>
          </w:p>
        </w:tc>
      </w:tr>
      <w:tr w14:paraId="00E1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787877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519CB373">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1BF27CDD">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《项目培训方案》</w:t>
            </w:r>
          </w:p>
        </w:tc>
      </w:tr>
      <w:tr w14:paraId="4047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690D45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6AD72C2E">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0A4A3AB6">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《培训材料》</w:t>
            </w:r>
          </w:p>
        </w:tc>
      </w:tr>
      <w:tr w14:paraId="2D8C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4F4C344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330C1F8C">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15D6D4E6">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《培训记录》</w:t>
            </w:r>
          </w:p>
        </w:tc>
      </w:tr>
      <w:tr w14:paraId="5B30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64B9A77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p>
        </w:tc>
        <w:tc>
          <w:tcPr>
            <w:tcW w:w="16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CAA055">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项目终验</w:t>
            </w: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13E1AC1B">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《监理招标文件》</w:t>
            </w:r>
          </w:p>
        </w:tc>
      </w:tr>
      <w:tr w14:paraId="6D78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5DC2F4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39D5C3F7">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20A29227">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《监理合同》</w:t>
            </w:r>
          </w:p>
        </w:tc>
      </w:tr>
      <w:tr w14:paraId="0048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4569B1B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725FF935">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07FC79E8">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《监理大纲》</w:t>
            </w:r>
          </w:p>
        </w:tc>
      </w:tr>
      <w:tr w14:paraId="1A31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F12D41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7EA4DEFD">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4289963D">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《监理周报》</w:t>
            </w:r>
          </w:p>
        </w:tc>
      </w:tr>
      <w:tr w14:paraId="5C1B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BD583D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7E6CE915">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29380DD9">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《监理专报》</w:t>
            </w:r>
          </w:p>
        </w:tc>
      </w:tr>
      <w:tr w14:paraId="1897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778B135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4B6F67C6">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75B221B9">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《监理联系单》</w:t>
            </w:r>
          </w:p>
        </w:tc>
      </w:tr>
      <w:tr w14:paraId="398D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48D1A97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19106B9C">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1145D1EC">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《监理通知单》</w:t>
            </w:r>
          </w:p>
        </w:tc>
      </w:tr>
      <w:tr w14:paraId="2FBC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43458F9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7D8A53F7">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4A6EC9C4">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《监理意见》</w:t>
            </w:r>
          </w:p>
        </w:tc>
      </w:tr>
      <w:tr w14:paraId="4B91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2D1CB38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7FFA79E2">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17294141">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《会议纪要》</w:t>
            </w:r>
          </w:p>
        </w:tc>
      </w:tr>
      <w:tr w14:paraId="2B4C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633351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0452F89B">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0B7DF4DE">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《款项支付凭证》</w:t>
            </w:r>
          </w:p>
        </w:tc>
      </w:tr>
      <w:tr w14:paraId="0968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BEFF49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3ABBA02E">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70141E1D">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《监理初验意见》</w:t>
            </w:r>
          </w:p>
        </w:tc>
      </w:tr>
      <w:tr w14:paraId="651F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165A10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6D369E37">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7C9F78FB">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《监理总结报告》</w:t>
            </w:r>
          </w:p>
        </w:tc>
      </w:tr>
      <w:tr w14:paraId="6049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7FB1357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7DDD9386">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4EA30170">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《项目竣工报告》</w:t>
            </w:r>
          </w:p>
        </w:tc>
      </w:tr>
      <w:tr w14:paraId="3B5F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A3F009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6832F357">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35AAD86B">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《项目监理报告》</w:t>
            </w:r>
          </w:p>
        </w:tc>
      </w:tr>
      <w:tr w14:paraId="5217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8940E1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3D673D10">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6E5C3EDD">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《用户使用报告》</w:t>
            </w:r>
          </w:p>
        </w:tc>
      </w:tr>
      <w:tr w14:paraId="4986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553293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w:t>
            </w:r>
          </w:p>
        </w:tc>
        <w:tc>
          <w:tcPr>
            <w:tcW w:w="1662" w:type="pct"/>
            <w:vMerge w:val="continue"/>
            <w:tcBorders>
              <w:top w:val="single" w:color="auto" w:sz="4" w:space="0"/>
              <w:left w:val="single" w:color="auto" w:sz="4" w:space="0"/>
              <w:bottom w:val="single" w:color="auto" w:sz="4" w:space="0"/>
              <w:right w:val="single" w:color="auto" w:sz="4" w:space="0"/>
            </w:tcBorders>
            <w:vAlign w:val="center"/>
          </w:tcPr>
          <w:p w14:paraId="223A2E1C">
            <w:pPr>
              <w:widowControl/>
              <w:jc w:val="left"/>
              <w:rPr>
                <w:rFonts w:hint="eastAsia" w:ascii="宋体" w:hAnsi="宋体" w:eastAsia="宋体" w:cs="宋体"/>
                <w:color w:val="auto"/>
                <w:kern w:val="0"/>
                <w:sz w:val="21"/>
                <w:szCs w:val="21"/>
                <w:highlight w:val="none"/>
              </w:rPr>
            </w:pPr>
          </w:p>
        </w:tc>
        <w:tc>
          <w:tcPr>
            <w:tcW w:w="2691" w:type="pct"/>
            <w:tcBorders>
              <w:top w:val="single" w:color="auto" w:sz="4" w:space="0"/>
              <w:left w:val="single" w:color="auto" w:sz="4" w:space="0"/>
              <w:bottom w:val="single" w:color="auto" w:sz="4" w:space="0"/>
              <w:right w:val="single" w:color="auto" w:sz="4" w:space="0"/>
            </w:tcBorders>
            <w:shd w:val="clear" w:color="auto" w:fill="auto"/>
            <w:vAlign w:val="center"/>
          </w:tcPr>
          <w:p w14:paraId="3A9225A4">
            <w:pPr>
              <w:widowControl/>
              <w:spacing w:line="536870515"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《终验意见》</w:t>
            </w:r>
          </w:p>
        </w:tc>
      </w:tr>
    </w:tbl>
    <w:p w14:paraId="0679F267">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2.2 2026年度科技装备监理</w:t>
      </w:r>
    </w:p>
    <w:p w14:paraId="763749F2">
      <w:pPr>
        <w:keepNext w:val="0"/>
        <w:keepLines w:val="0"/>
        <w:pageBreakBefore w:val="0"/>
        <w:widowControl/>
        <w:kinsoku/>
        <w:wordWrap/>
        <w:overflowPunct/>
        <w:topLinePunct w:val="0"/>
        <w:autoSpaceDE/>
        <w:autoSpaceDN/>
        <w:bidi w:val="0"/>
        <w:adjustRightInd/>
        <w:snapToGrid/>
        <w:spacing w:line="360" w:lineRule="exact"/>
        <w:ind w:right="0" w:firstLine="422"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2.2.1监理内容</w:t>
      </w:r>
    </w:p>
    <w:p w14:paraId="1A4D96B2">
      <w:pPr>
        <w:keepNext w:val="0"/>
        <w:keepLines w:val="0"/>
        <w:pageBreakBefore w:val="0"/>
        <w:widowControl/>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针对市局2026年度科技装备开展到货验收等监理工作，参照2.1.1和2.1.2相关要求执行。</w:t>
      </w:r>
    </w:p>
    <w:p w14:paraId="3F2C8D9A">
      <w:pPr>
        <w:keepNext w:val="0"/>
        <w:keepLines w:val="0"/>
        <w:pageBreakBefore w:val="0"/>
        <w:widowControl/>
        <w:kinsoku/>
        <w:wordWrap/>
        <w:overflowPunct/>
        <w:topLinePunct w:val="0"/>
        <w:autoSpaceDE/>
        <w:autoSpaceDN/>
        <w:bidi w:val="0"/>
        <w:adjustRightInd/>
        <w:snapToGrid/>
        <w:spacing w:line="360" w:lineRule="exact"/>
        <w:ind w:right="0" w:firstLine="422"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2.2.2 监理服务成果</w:t>
      </w:r>
    </w:p>
    <w:p w14:paraId="1A1460B6">
      <w:pPr>
        <w:keepNext w:val="0"/>
        <w:keepLines w:val="0"/>
        <w:pageBreakBefore w:val="0"/>
        <w:widowControl/>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参照2.1.3相关内容执行。</w:t>
      </w:r>
    </w:p>
    <w:p w14:paraId="4EA3848F">
      <w:pPr>
        <w:keepNext w:val="0"/>
        <w:keepLines w:val="0"/>
        <w:pageBreakBefore w:val="0"/>
        <w:widowControl/>
        <w:kinsoku/>
        <w:wordWrap/>
        <w:overflowPunct/>
        <w:topLinePunct w:val="0"/>
        <w:autoSpaceDE/>
        <w:autoSpaceDN/>
        <w:bidi w:val="0"/>
        <w:adjustRightInd/>
        <w:snapToGrid/>
        <w:spacing w:line="360" w:lineRule="exact"/>
        <w:ind w:right="0" w:firstLine="422" w:firstLineChars="200"/>
        <w:jc w:val="both"/>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三、监理服务准则</w:t>
      </w:r>
    </w:p>
    <w:p w14:paraId="0770C104">
      <w:pPr>
        <w:keepNext w:val="0"/>
        <w:keepLines w:val="0"/>
        <w:pageBreakBefore w:val="0"/>
        <w:widowControl/>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（1）维护国家的荣誉和利益，按照“守法、诚信、公正、科学”的准则执业。</w:t>
      </w:r>
    </w:p>
    <w:p w14:paraId="085B6B91">
      <w:pPr>
        <w:keepNext w:val="0"/>
        <w:keepLines w:val="0"/>
        <w:pageBreakBefore w:val="0"/>
        <w:widowControl/>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（2）执行有关工程建设的法律、法规、规范、标准和制度，履行咨询、监理合同规定的义务和职责。</w:t>
      </w:r>
    </w:p>
    <w:p w14:paraId="38EC22CC">
      <w:pPr>
        <w:keepNext w:val="0"/>
        <w:keepLines w:val="0"/>
        <w:pageBreakBefore w:val="0"/>
        <w:widowControl/>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（3）不收受被监理单位的任何礼金等。</w:t>
      </w:r>
    </w:p>
    <w:p w14:paraId="079CFC26">
      <w:pPr>
        <w:keepNext w:val="0"/>
        <w:keepLines w:val="0"/>
        <w:pageBreakBefore w:val="0"/>
        <w:widowControl/>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（4）不泄漏所咨询、监理工程各方认为需要保密的事项。</w:t>
      </w:r>
    </w:p>
    <w:p w14:paraId="166AB7BC">
      <w:pPr>
        <w:keepNext w:val="0"/>
        <w:keepLines w:val="0"/>
        <w:pageBreakBefore w:val="0"/>
        <w:widowControl/>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（5）遵守国家的法律和政府的有关条例、规定和办法等。</w:t>
      </w:r>
    </w:p>
    <w:p w14:paraId="50422F28">
      <w:pPr>
        <w:keepNext w:val="0"/>
        <w:keepLines w:val="0"/>
        <w:pageBreakBefore w:val="0"/>
        <w:widowControl/>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（6）认真履行工程建设监理合同所承诺的义务和承担约定的责任。</w:t>
      </w:r>
    </w:p>
    <w:p w14:paraId="3B668A1F">
      <w:pPr>
        <w:keepNext w:val="0"/>
        <w:keepLines w:val="0"/>
        <w:pageBreakBefore w:val="0"/>
        <w:widowControl/>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（7）坚持公正的立场，公平地处理有关各方的争议。</w:t>
      </w:r>
    </w:p>
    <w:p w14:paraId="0CD6F4F2">
      <w:pPr>
        <w:keepNext w:val="0"/>
        <w:keepLines w:val="0"/>
        <w:pageBreakBefore w:val="0"/>
        <w:widowControl/>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（8）坚持科学的态度和实事求是的原则。</w:t>
      </w:r>
    </w:p>
    <w:p w14:paraId="3628DC3C">
      <w:pPr>
        <w:keepNext w:val="0"/>
        <w:keepLines w:val="0"/>
        <w:pageBreakBefore w:val="0"/>
        <w:widowControl/>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（9）在坚持按咨询、监理合同的规定向业主单位提供技术服务的同时，帮助被监理者完成其担负的建设任务。</w:t>
      </w:r>
    </w:p>
    <w:p w14:paraId="11C5352B">
      <w:pPr>
        <w:keepNext w:val="0"/>
        <w:keepLines w:val="0"/>
        <w:pageBreakBefore w:val="0"/>
        <w:widowControl/>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(10)不泄漏所咨询、监理的工程需保密的事项。</w:t>
      </w:r>
    </w:p>
    <w:p w14:paraId="01312B2B">
      <w:pPr>
        <w:keepNext w:val="0"/>
        <w:keepLines w:val="0"/>
        <w:pageBreakBefore w:val="0"/>
        <w:widowControl/>
        <w:kinsoku/>
        <w:wordWrap/>
        <w:overflowPunct/>
        <w:topLinePunct w:val="0"/>
        <w:autoSpaceDE/>
        <w:autoSpaceDN/>
        <w:bidi w:val="0"/>
        <w:adjustRightInd/>
        <w:snapToGrid/>
        <w:spacing w:line="360" w:lineRule="exact"/>
        <w:ind w:right="0" w:firstLine="422" w:firstLineChars="200"/>
        <w:jc w:val="both"/>
        <w:textAlignment w:val="auto"/>
        <w:outlineLvl w:val="9"/>
        <w:rPr>
          <w:rFonts w:hint="eastAsia" w:ascii="宋体" w:hAnsi="宋体" w:eastAsia="宋体" w:cs="宋体"/>
          <w:b/>
          <w:bCs/>
          <w:color w:val="auto"/>
          <w:kern w:val="0"/>
          <w:sz w:val="21"/>
          <w:szCs w:val="21"/>
          <w:highlight w:val="none"/>
        </w:rPr>
      </w:pPr>
      <w:bookmarkStart w:id="7" w:name="_Toc26780885"/>
      <w:bookmarkEnd w:id="7"/>
      <w:r>
        <w:rPr>
          <w:rFonts w:hint="eastAsia" w:ascii="宋体" w:hAnsi="宋体" w:eastAsia="宋体" w:cs="宋体"/>
          <w:b/>
          <w:color w:val="auto"/>
          <w:sz w:val="21"/>
          <w:szCs w:val="21"/>
          <w:highlight w:val="none"/>
          <w:lang w:val="zh-CN"/>
        </w:rPr>
        <w:t>四、服务要求</w:t>
      </w:r>
    </w:p>
    <w:p w14:paraId="48B9AF3F">
      <w:pPr>
        <w:keepNext w:val="0"/>
        <w:keepLines w:val="0"/>
        <w:pageBreakBefore w:val="0"/>
        <w:widowControl/>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★4.1投标人提供1名总监理工程师（具有信息系统项目管理师、信息系统监理师证书）在项目建设期间常驻常州，全程参与项目监理工作</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29601DE1">
      <w:pPr>
        <w:keepNext w:val="0"/>
        <w:keepLines w:val="0"/>
        <w:pageBreakBefore w:val="0"/>
        <w:widowControl/>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★4.2投标人提供1名监理工程师（具有信息系统监理师证书）在项目建设期间常驻项目现场，全程参与项目监理工作。</w:t>
      </w:r>
    </w:p>
    <w:p w14:paraId="07EAEE1C">
      <w:pPr>
        <w:keepNext w:val="0"/>
        <w:keepLines w:val="0"/>
        <w:pageBreakBefore w:val="0"/>
        <w:widowControl/>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★4.3投标人须在合同签订后一周内提供派驻人员开展工作，否则招标人有权终止合同。</w:t>
      </w:r>
    </w:p>
    <w:p w14:paraId="2369C3F2">
      <w:pPr>
        <w:keepNext w:val="0"/>
        <w:keepLines w:val="0"/>
        <w:pageBreakBefore w:val="0"/>
        <w:widowControl/>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投标人保持派驻人员的连续性和稳定性，派驻人员经过相关安全保密教育且签订保密协议后安排驻场在常州市公安局，派驻人员调整更换必须经双方协商同意。派驻人员考核由常州市公安局负责；派驻人员服从招标单位的管理，包括工作时间、工作安排，严格执行请销假制度。</w:t>
      </w:r>
    </w:p>
    <w:p w14:paraId="403F3044">
      <w:pPr>
        <w:keepNext w:val="0"/>
        <w:keepLines w:val="0"/>
        <w:pageBreakBefore w:val="0"/>
        <w:widowControl/>
        <w:kinsoku/>
        <w:wordWrap/>
        <w:overflowPunct/>
        <w:topLinePunct w:val="0"/>
        <w:autoSpaceDE/>
        <w:autoSpaceDN/>
        <w:bidi w:val="0"/>
        <w:adjustRightInd/>
        <w:snapToGrid/>
        <w:spacing w:line="360" w:lineRule="exact"/>
        <w:ind w:right="0" w:firstLine="422" w:firstLineChars="200"/>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五、保密要求</w:t>
      </w:r>
    </w:p>
    <w:p w14:paraId="2A0F68B5">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5.1按照公安机关要求，落实好企业、人员管理、备案工作。</w:t>
      </w:r>
    </w:p>
    <w:p w14:paraId="1FAC97AD">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5.2</w:t>
      </w:r>
      <w:r>
        <w:rPr>
          <w:rFonts w:hint="eastAsia" w:ascii="宋体" w:hAnsi="宋体" w:eastAsia="宋体" w:cs="宋体"/>
          <w:color w:val="auto"/>
          <w:sz w:val="21"/>
          <w:szCs w:val="21"/>
          <w:highlight w:val="none"/>
        </w:rPr>
        <w:t>投标人保证其公司人员在服务期间所接触的采购人各种文件，数据，系统资料，系统操作等严格遵守采购人保密制度，不得向第三方透露</w:t>
      </w:r>
      <w:r>
        <w:rPr>
          <w:rFonts w:hint="eastAsia" w:ascii="宋体" w:hAnsi="宋体" w:eastAsia="宋体" w:cs="宋体"/>
          <w:bCs/>
          <w:color w:val="auto"/>
          <w:sz w:val="21"/>
          <w:szCs w:val="21"/>
          <w:highlight w:val="none"/>
        </w:rPr>
        <w:t>。</w:t>
      </w:r>
    </w:p>
    <w:p w14:paraId="396E1D50">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w:t>
      </w:r>
      <w:r>
        <w:rPr>
          <w:rFonts w:hint="eastAsia" w:ascii="宋体" w:hAnsi="宋体" w:eastAsia="宋体" w:cs="宋体"/>
          <w:color w:val="auto"/>
          <w:sz w:val="21"/>
          <w:szCs w:val="21"/>
          <w:highlight w:val="none"/>
        </w:rPr>
        <w:t>公安业务系统数据属于公安秘密，投标人应当严格遵守相关规定，严禁泄漏公安秘密，未经采购人确认，投标人的其公司人员不得对采购人业务系统作任何操作，</w:t>
      </w:r>
      <w:r>
        <w:rPr>
          <w:rFonts w:hint="eastAsia" w:ascii="宋体" w:hAnsi="宋体" w:eastAsia="宋体" w:cs="宋体"/>
          <w:bCs/>
          <w:color w:val="auto"/>
          <w:sz w:val="21"/>
          <w:szCs w:val="21"/>
          <w:highlight w:val="none"/>
        </w:rPr>
        <w:t>参与项目服务人员必须做到以下几点：</w:t>
      </w:r>
    </w:p>
    <w:p w14:paraId="23EBE7C8">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bCs/>
          <w:color w:val="auto"/>
          <w:sz w:val="21"/>
          <w:szCs w:val="21"/>
          <w:highlight w:val="none"/>
        </w:rPr>
      </w:pPr>
      <w:bookmarkStart w:id="8" w:name="OLE_LINK4"/>
      <w:bookmarkStart w:id="9" w:name="OLE_LINK2"/>
      <w:r>
        <w:rPr>
          <w:rFonts w:hint="eastAsia" w:ascii="宋体" w:hAnsi="宋体" w:eastAsia="宋体" w:cs="宋体"/>
          <w:bCs/>
          <w:color w:val="auto"/>
          <w:sz w:val="21"/>
          <w:szCs w:val="21"/>
          <w:highlight w:val="none"/>
        </w:rPr>
        <w:t>(a)</w:t>
      </w:r>
      <w:bookmarkEnd w:id="8"/>
      <w:bookmarkEnd w:id="9"/>
      <w:r>
        <w:rPr>
          <w:rFonts w:hint="eastAsia" w:ascii="宋体" w:hAnsi="宋体" w:eastAsia="宋体" w:cs="宋体"/>
          <w:bCs/>
          <w:color w:val="auto"/>
          <w:sz w:val="21"/>
          <w:szCs w:val="21"/>
          <w:highlight w:val="none"/>
        </w:rPr>
        <w:t>只在规定的区域实行规定的工作，不得进入与之无关的工作区域；</w:t>
      </w:r>
    </w:p>
    <w:p w14:paraId="0E48073B">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(b)不得在机房设备上建立与工作无关的网站、网页和服务；不得在设备中传输、粘贴有害信息或与工作无关的信息；</w:t>
      </w:r>
    </w:p>
    <w:p w14:paraId="381E6255">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(c)不得擅自对设备进行扫描、探测和入侵信息系统；</w:t>
      </w:r>
    </w:p>
    <w:p w14:paraId="4E28E032">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(d)不得对工作信息和资源越权访问、违规使用；</w:t>
      </w:r>
    </w:p>
    <w:p w14:paraId="17198C82">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(e)不得私自允许他人接触和使用机房设备；</w:t>
      </w:r>
    </w:p>
    <w:p w14:paraId="3BD14409">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(f)严禁将工作用设备和文件带离机房；</w:t>
      </w:r>
    </w:p>
    <w:p w14:paraId="33BEDB53">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(g)未经机房管理部门同意，严禁以任何方式和介质拷贝服务器上的任何信息及项目中涉及的信息；</w:t>
      </w:r>
    </w:p>
    <w:p w14:paraId="37EA0D9F">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(h)对工作中接触到的信息做到保密；</w:t>
      </w:r>
    </w:p>
    <w:p w14:paraId="2EFD4050">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(i)不准擅自摘抄、下载、复制、拍摄、提供、销毁或私自留存相关文件、资料（含电子文档）；严禁违反“一机两用”规定；不准在私人交往中谈论相关工作；</w:t>
      </w:r>
    </w:p>
    <w:p w14:paraId="20EE2D3D">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(j)不得有其他任何危害公安信息安全的行为。</w:t>
      </w:r>
    </w:p>
    <w:p w14:paraId="57CD41CE">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5.4按照各级公安机关对公安信息网络的安全要求，由投标人与采购人签定安全保密协议，落实公安网络安全及信息保密的各项规定。投标人对服务人员必须进行相关安全保密教育，与采购人签订保密协议，有履行保密的责任和义务。</w:t>
      </w:r>
    </w:p>
    <w:p w14:paraId="2E4A83AC">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5.5凡以直接、间接、口头或书面等形式提供涉及保密内容的行为均属泄密，将追究当事人及服务单位的责任。</w:t>
      </w:r>
    </w:p>
    <w:p w14:paraId="52B1A173">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5.6项目结束后，所有资料全部移交给采购人。</w:t>
      </w:r>
    </w:p>
    <w:p w14:paraId="5874ADE7">
      <w:pPr>
        <w:keepNext w:val="0"/>
        <w:keepLines w:val="0"/>
        <w:pageBreakBefore w:val="0"/>
        <w:widowControl/>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bookmarkStart w:id="10" w:name="_Toc26780886"/>
      <w:bookmarkEnd w:id="10"/>
      <w:r>
        <w:rPr>
          <w:rFonts w:hint="eastAsia" w:ascii="宋体" w:hAnsi="宋体" w:eastAsia="宋体" w:cs="宋体"/>
          <w:color w:val="auto"/>
          <w:kern w:val="0"/>
          <w:sz w:val="21"/>
          <w:szCs w:val="21"/>
          <w:highlight w:val="none"/>
        </w:rPr>
        <w:t>带星号（★）的条款为实质性响应要求，投标人提供</w:t>
      </w:r>
      <w:r>
        <w:rPr>
          <w:rFonts w:hint="eastAsia" w:ascii="宋体" w:hAnsi="宋体" w:eastAsia="宋体" w:cs="宋体"/>
          <w:b/>
          <w:bCs/>
          <w:color w:val="auto"/>
          <w:kern w:val="0"/>
          <w:sz w:val="21"/>
          <w:szCs w:val="21"/>
          <w:highlight w:val="none"/>
        </w:rPr>
        <w:t>承诺函</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color w:val="auto"/>
          <w:kern w:val="0"/>
          <w:sz w:val="21"/>
          <w:szCs w:val="21"/>
          <w:highlight w:val="none"/>
        </w:rPr>
        <w:t>并加盖公章，</w:t>
      </w:r>
      <w:r>
        <w:rPr>
          <w:rFonts w:hint="eastAsia" w:ascii="宋体" w:hAnsi="宋体" w:cs="宋体"/>
          <w:color w:val="auto"/>
          <w:kern w:val="0"/>
          <w:sz w:val="21"/>
          <w:szCs w:val="21"/>
          <w:highlight w:val="none"/>
          <w:lang w:val="en-US" w:eastAsia="zh-CN"/>
        </w:rPr>
        <w:t>并提供相关证书的复印件加盖公章，</w:t>
      </w:r>
      <w:r>
        <w:rPr>
          <w:rFonts w:hint="eastAsia" w:ascii="宋体" w:hAnsi="宋体" w:eastAsia="宋体" w:cs="宋体"/>
          <w:color w:val="auto"/>
          <w:kern w:val="0"/>
          <w:sz w:val="21"/>
          <w:szCs w:val="21"/>
          <w:highlight w:val="none"/>
        </w:rPr>
        <w:t>不满足作无效响应处理。</w:t>
      </w:r>
    </w:p>
    <w:p w14:paraId="2524C9AC">
      <w:pPr>
        <w:keepNext w:val="0"/>
        <w:keepLines w:val="0"/>
        <w:pageBreakBefore w:val="0"/>
        <w:kinsoku/>
        <w:wordWrap/>
        <w:overflowPunct/>
        <w:topLinePunct w:val="0"/>
        <w:autoSpaceDE/>
        <w:autoSpaceDN/>
        <w:bidi w:val="0"/>
        <w:adjustRightInd/>
        <w:snapToGrid/>
        <w:spacing w:line="360" w:lineRule="exact"/>
        <w:ind w:right="0" w:firstLine="422" w:firstLineChars="200"/>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、报价方式</w:t>
      </w:r>
    </w:p>
    <w:p w14:paraId="5917C0C6">
      <w:pPr>
        <w:keepNext w:val="0"/>
        <w:keepLines w:val="0"/>
        <w:pageBreakBefore w:val="0"/>
        <w:widowControl w:val="0"/>
        <w:tabs>
          <w:tab w:val="left" w:pos="284"/>
        </w:tabs>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本项目报价为</w:t>
      </w:r>
      <w:r>
        <w:rPr>
          <w:rFonts w:hint="eastAsia" w:ascii="宋体" w:hAnsi="宋体" w:eastAsia="宋体" w:cs="宋体"/>
          <w:b/>
          <w:bCs/>
          <w:color w:val="auto"/>
          <w:sz w:val="21"/>
          <w:szCs w:val="21"/>
          <w:highlight w:val="none"/>
          <w:u w:val="single"/>
        </w:rPr>
        <w:t>固定总价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竞争性磋商磋商报价应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AFA5D20">
      <w:pPr>
        <w:keepNext w:val="0"/>
        <w:keepLines w:val="0"/>
        <w:pageBreakBefore w:val="0"/>
        <w:tabs>
          <w:tab w:val="left" w:pos="284"/>
        </w:tabs>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报价货币为</w:t>
      </w:r>
      <w:r>
        <w:rPr>
          <w:rFonts w:hint="eastAsia" w:ascii="宋体" w:hAnsi="宋体" w:eastAsia="宋体" w:cs="宋体"/>
          <w:color w:val="auto"/>
          <w:sz w:val="21"/>
          <w:szCs w:val="21"/>
          <w:highlight w:val="none"/>
        </w:rPr>
        <w:t>人民币，评审时以人民币为准。</w:t>
      </w:r>
    </w:p>
    <w:p w14:paraId="452DACDD">
      <w:pPr>
        <w:keepNext w:val="0"/>
        <w:keepLines w:val="0"/>
        <w:pageBreakBefore w:val="0"/>
        <w:widowControl/>
        <w:kinsoku/>
        <w:wordWrap/>
        <w:overflowPunct/>
        <w:topLinePunct w:val="0"/>
        <w:autoSpaceDE/>
        <w:autoSpaceDN/>
        <w:bidi w:val="0"/>
        <w:adjustRightInd/>
        <w:snapToGrid/>
        <w:spacing w:line="360" w:lineRule="exact"/>
        <w:ind w:right="0" w:firstLine="422"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、服务期限：</w:t>
      </w:r>
      <w:r>
        <w:rPr>
          <w:rFonts w:hint="eastAsia" w:ascii="宋体" w:hAnsi="宋体" w:eastAsia="宋体" w:cs="宋体"/>
          <w:color w:val="auto"/>
          <w:kern w:val="0"/>
          <w:sz w:val="21"/>
          <w:szCs w:val="21"/>
          <w:highlight w:val="none"/>
        </w:rPr>
        <w:t>合同签订之日起至监理范围内所有项目通过终验止。</w:t>
      </w:r>
    </w:p>
    <w:p w14:paraId="48F07B5A">
      <w:pPr>
        <w:keepNext w:val="0"/>
        <w:keepLines w:val="0"/>
        <w:pageBreakBefore w:val="0"/>
        <w:kinsoku/>
        <w:wordWrap/>
        <w:overflowPunct/>
        <w:topLinePunct w:val="0"/>
        <w:autoSpaceDE/>
        <w:autoSpaceDN/>
        <w:bidi w:val="0"/>
        <w:adjustRightInd/>
        <w:snapToGrid/>
        <w:spacing w:line="360" w:lineRule="exact"/>
        <w:ind w:right="0" w:firstLine="422" w:firstLineChars="200"/>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、付款</w:t>
      </w:r>
    </w:p>
    <w:p w14:paraId="687FE359">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对于满足合同约定支付条件的，采购人将在收到发票后15日内按时足额支付采购资金。合同签订支付20%；监理范围内所有项目通过初验后支付40%；监理范围内所有项目通过终验后支付40%。</w:t>
      </w:r>
    </w:p>
    <w:p w14:paraId="2B60B4FE">
      <w:pPr>
        <w:keepNext w:val="0"/>
        <w:keepLines w:val="0"/>
        <w:pageBreakBefore w:val="0"/>
        <w:widowControl/>
        <w:kinsoku/>
        <w:wordWrap/>
        <w:overflowPunct/>
        <w:topLinePunct w:val="0"/>
        <w:autoSpaceDE/>
        <w:autoSpaceDN/>
        <w:bidi w:val="0"/>
        <w:adjustRightInd/>
        <w:snapToGrid/>
        <w:spacing w:line="360" w:lineRule="exact"/>
        <w:ind w:right="0" w:firstLine="422" w:firstLineChars="200"/>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3FB1BDE4">
      <w:pPr>
        <w:pStyle w:val="2"/>
        <w:rPr>
          <w:rFonts w:ascii="宋体" w:hAnsi="宋体" w:cs="宋体"/>
          <w:color w:val="auto"/>
          <w:highlight w:val="none"/>
        </w:rPr>
      </w:pPr>
      <w:bookmarkStart w:id="11" w:name="_Toc17537929"/>
      <w:r>
        <w:rPr>
          <w:rFonts w:hint="eastAsia" w:ascii="宋体" w:hAnsi="宋体" w:cs="宋体"/>
          <w:color w:val="auto"/>
          <w:highlight w:val="none"/>
        </w:rPr>
        <w:t>第三章  合同主要条款</w:t>
      </w:r>
      <w:bookmarkEnd w:id="11"/>
    </w:p>
    <w:p w14:paraId="3032926D">
      <w:pPr>
        <w:pStyle w:val="11"/>
        <w:spacing w:line="400" w:lineRule="exact"/>
        <w:rPr>
          <w:rFonts w:eastAsia="宋体" w:cs="宋体"/>
          <w:color w:val="auto"/>
          <w:sz w:val="21"/>
          <w:szCs w:val="21"/>
          <w:highlight w:val="none"/>
        </w:rPr>
      </w:pPr>
      <w:r>
        <w:rPr>
          <w:rFonts w:hint="eastAsia" w:eastAsia="宋体" w:cs="宋体"/>
          <w:b/>
          <w:color w:val="auto"/>
          <w:sz w:val="21"/>
          <w:szCs w:val="21"/>
          <w:highlight w:val="none"/>
          <w:lang w:val="zh-CN"/>
        </w:rPr>
        <w:t>采购人（以下称甲</w:t>
      </w:r>
      <w:r>
        <w:rPr>
          <w:rFonts w:hint="eastAsia" w:eastAsia="宋体" w:cs="宋体"/>
          <w:b/>
          <w:color w:val="auto"/>
          <w:sz w:val="21"/>
          <w:szCs w:val="21"/>
          <w:highlight w:val="none"/>
        </w:rPr>
        <w:t xml:space="preserve">方）:                       </w:t>
      </w:r>
      <w:r>
        <w:rPr>
          <w:rFonts w:hint="eastAsia" w:eastAsia="宋体" w:cs="宋体"/>
          <w:color w:val="auto"/>
          <w:sz w:val="21"/>
          <w:szCs w:val="21"/>
          <w:highlight w:val="none"/>
        </w:rPr>
        <w:t>合同编号：</w:t>
      </w:r>
    </w:p>
    <w:p w14:paraId="54ADB222">
      <w:pPr>
        <w:pStyle w:val="11"/>
        <w:spacing w:line="400" w:lineRule="exact"/>
        <w:rPr>
          <w:rFonts w:eastAsia="宋体" w:cs="宋体"/>
          <w:color w:val="auto"/>
          <w:sz w:val="21"/>
          <w:szCs w:val="21"/>
          <w:highlight w:val="none"/>
          <w:u w:val="single"/>
        </w:rPr>
      </w:pPr>
      <w:r>
        <w:rPr>
          <w:rFonts w:hint="eastAsia" w:eastAsia="宋体" w:cs="宋体"/>
          <w:b/>
          <w:color w:val="auto"/>
          <w:sz w:val="21"/>
          <w:szCs w:val="21"/>
          <w:highlight w:val="none"/>
        </w:rPr>
        <w:t>供应商（</w:t>
      </w:r>
      <w:r>
        <w:rPr>
          <w:rFonts w:hint="eastAsia" w:eastAsia="宋体" w:cs="宋体"/>
          <w:b/>
          <w:color w:val="auto"/>
          <w:sz w:val="21"/>
          <w:szCs w:val="21"/>
          <w:highlight w:val="none"/>
          <w:lang w:val="zh-CN"/>
        </w:rPr>
        <w:t>以下称</w:t>
      </w:r>
      <w:r>
        <w:rPr>
          <w:rFonts w:hint="eastAsia" w:eastAsia="宋体" w:cs="宋体"/>
          <w:b/>
          <w:color w:val="auto"/>
          <w:sz w:val="21"/>
          <w:szCs w:val="21"/>
          <w:highlight w:val="none"/>
        </w:rPr>
        <w:t xml:space="preserve">乙方）:                       </w:t>
      </w:r>
      <w:r>
        <w:rPr>
          <w:rFonts w:hint="eastAsia" w:eastAsia="宋体" w:cs="宋体"/>
          <w:color w:val="auto"/>
          <w:sz w:val="21"/>
          <w:szCs w:val="21"/>
          <w:highlight w:val="none"/>
        </w:rPr>
        <w:t>签订地点：</w:t>
      </w:r>
    </w:p>
    <w:p w14:paraId="3E1C30DB">
      <w:pPr>
        <w:pStyle w:val="5"/>
        <w:spacing w:line="400" w:lineRule="exact"/>
        <w:ind w:firstLine="4620" w:firstLineChars="2200"/>
        <w:rPr>
          <w:rFonts w:hAnsi="宋体" w:cs="宋体"/>
          <w:b/>
          <w:color w:val="auto"/>
          <w:sz w:val="21"/>
          <w:szCs w:val="21"/>
          <w:highlight w:val="none"/>
        </w:rPr>
      </w:pPr>
      <w:r>
        <w:rPr>
          <w:rFonts w:hint="eastAsia" w:hAnsi="宋体" w:cs="宋体"/>
          <w:color w:val="auto"/>
          <w:sz w:val="21"/>
          <w:szCs w:val="21"/>
          <w:highlight w:val="none"/>
        </w:rPr>
        <w:t xml:space="preserve">合同时间: </w:t>
      </w:r>
      <w:r>
        <w:rPr>
          <w:rFonts w:hint="eastAsia" w:hAnsi="宋体" w:cs="宋体"/>
          <w:color w:val="auto"/>
          <w:sz w:val="21"/>
          <w:szCs w:val="21"/>
          <w:highlight w:val="none"/>
          <w:u w:val="single"/>
        </w:rPr>
        <w:t xml:space="preserve">    年   月   日</w:t>
      </w:r>
    </w:p>
    <w:p w14:paraId="336F0828">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甲乙双方依据《中华人民共和国民法典》以及有关法律、法规的规定，经协商一致，订立本合同，以便共同遵守。</w:t>
      </w:r>
    </w:p>
    <w:p w14:paraId="6AC63F55">
      <w:pPr>
        <w:pStyle w:val="11"/>
        <w:spacing w:line="360" w:lineRule="exact"/>
        <w:ind w:firstLine="426" w:firstLineChars="202"/>
        <w:rPr>
          <w:rFonts w:eastAsia="宋体" w:cs="宋体"/>
          <w:b/>
          <w:color w:val="auto"/>
          <w:sz w:val="21"/>
          <w:szCs w:val="21"/>
          <w:highlight w:val="none"/>
        </w:rPr>
      </w:pPr>
      <w:r>
        <w:rPr>
          <w:rFonts w:hint="eastAsia" w:eastAsia="宋体" w:cs="宋体"/>
          <w:b/>
          <w:color w:val="auto"/>
          <w:sz w:val="21"/>
          <w:szCs w:val="21"/>
          <w:highlight w:val="none"/>
        </w:rPr>
        <w:t>第一条 合同标的</w:t>
      </w:r>
    </w:p>
    <w:p w14:paraId="0456FEDF">
      <w:pPr>
        <w:widowControl/>
        <w:adjustRightInd w:val="0"/>
        <w:spacing w:line="360" w:lineRule="exact"/>
        <w:ind w:firstLine="424" w:firstLineChars="202"/>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乙方根据甲方需求提供下列服务：</w:t>
      </w:r>
      <w:r>
        <w:rPr>
          <w:rFonts w:hint="eastAsia" w:ascii="宋体" w:hAnsi="宋体" w:cs="宋体"/>
          <w:color w:val="auto"/>
          <w:kern w:val="0"/>
          <w:szCs w:val="21"/>
          <w:highlight w:val="none"/>
          <w:u w:val="single"/>
          <w:lang w:val="zh-CN"/>
        </w:rPr>
        <w:t>2025年度科技信息化建设项目和2026年度科技装备项目监理服务</w:t>
      </w:r>
      <w:r>
        <w:rPr>
          <w:rFonts w:hint="eastAsia" w:ascii="宋体" w:hAnsi="宋体" w:cs="宋体"/>
          <w:color w:val="auto"/>
          <w:kern w:val="0"/>
          <w:szCs w:val="21"/>
          <w:highlight w:val="none"/>
          <w:lang w:val="zh-CN"/>
        </w:rPr>
        <w:t xml:space="preserve"> ，</w:t>
      </w:r>
      <w:r>
        <w:rPr>
          <w:rFonts w:hint="eastAsia" w:ascii="宋体" w:hAnsi="宋体" w:cs="宋体"/>
          <w:color w:val="auto"/>
          <w:szCs w:val="21"/>
          <w:highlight w:val="none"/>
        </w:rPr>
        <w:t>系指根据合同规定乙方须承担与服务有关的所有辅助服务</w:t>
      </w:r>
      <w:r>
        <w:rPr>
          <w:rFonts w:hint="eastAsia" w:ascii="宋体" w:hAnsi="宋体" w:cs="宋体"/>
          <w:color w:val="auto"/>
          <w:kern w:val="0"/>
          <w:szCs w:val="21"/>
          <w:highlight w:val="none"/>
          <w:lang w:val="zh-CN"/>
        </w:rPr>
        <w:t>。</w:t>
      </w:r>
    </w:p>
    <w:p w14:paraId="10D8DB09">
      <w:pPr>
        <w:pStyle w:val="11"/>
        <w:spacing w:line="360" w:lineRule="exact"/>
        <w:ind w:firstLine="426" w:firstLineChars="202"/>
        <w:rPr>
          <w:rFonts w:eastAsia="宋体" w:cs="宋体"/>
          <w:b/>
          <w:color w:val="auto"/>
          <w:sz w:val="21"/>
          <w:szCs w:val="21"/>
          <w:highlight w:val="none"/>
        </w:rPr>
      </w:pPr>
      <w:r>
        <w:rPr>
          <w:rFonts w:hint="eastAsia" w:eastAsia="宋体" w:cs="宋体"/>
          <w:b/>
          <w:color w:val="auto"/>
          <w:sz w:val="21"/>
          <w:szCs w:val="21"/>
          <w:highlight w:val="none"/>
        </w:rPr>
        <w:t>第二条 合同价格</w:t>
      </w:r>
    </w:p>
    <w:p w14:paraId="6E5D60ED">
      <w:pPr>
        <w:pStyle w:val="11"/>
        <w:spacing w:line="360" w:lineRule="exact"/>
        <w:ind w:firstLine="426" w:firstLineChars="202"/>
        <w:jc w:val="left"/>
        <w:rPr>
          <w:rFonts w:eastAsia="宋体" w:cs="宋体"/>
          <w:b/>
          <w:color w:val="auto"/>
          <w:sz w:val="21"/>
          <w:szCs w:val="21"/>
          <w:highlight w:val="none"/>
        </w:rPr>
      </w:pPr>
      <w:r>
        <w:rPr>
          <w:rFonts w:hint="eastAsia" w:eastAsia="宋体" w:cs="宋体"/>
          <w:b/>
          <w:color w:val="auto"/>
          <w:sz w:val="21"/>
          <w:szCs w:val="21"/>
          <w:highlight w:val="none"/>
        </w:rPr>
        <w:t>签约合同总价（人民币，下同）：</w:t>
      </w:r>
      <w:r>
        <w:rPr>
          <w:rFonts w:hint="eastAsia" w:eastAsia="宋体" w:cs="宋体"/>
          <w:b/>
          <w:color w:val="auto"/>
          <w:sz w:val="21"/>
          <w:szCs w:val="21"/>
          <w:highlight w:val="none"/>
          <w:u w:val="single"/>
        </w:rPr>
        <w:t xml:space="preserve">             元</w:t>
      </w:r>
      <w:r>
        <w:rPr>
          <w:rFonts w:hint="eastAsia" w:eastAsia="宋体" w:cs="宋体"/>
          <w:b/>
          <w:color w:val="auto"/>
          <w:sz w:val="21"/>
          <w:szCs w:val="21"/>
          <w:highlight w:val="none"/>
        </w:rPr>
        <w:t xml:space="preserve">（小写       ）。 </w:t>
      </w:r>
    </w:p>
    <w:p w14:paraId="07BD3F75">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本合同总价包括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60C8D7C0">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本合同总价款还包含乙方应当提供的伴随服务/售后服务费用。</w:t>
      </w:r>
    </w:p>
    <w:p w14:paraId="6BA0DEF6">
      <w:pPr>
        <w:pStyle w:val="11"/>
        <w:spacing w:line="360" w:lineRule="exact"/>
        <w:ind w:firstLine="426" w:firstLineChars="202"/>
        <w:rPr>
          <w:rFonts w:eastAsia="宋体" w:cs="宋体"/>
          <w:b/>
          <w:color w:val="auto"/>
          <w:sz w:val="21"/>
          <w:szCs w:val="21"/>
          <w:highlight w:val="none"/>
        </w:rPr>
      </w:pPr>
      <w:r>
        <w:rPr>
          <w:rFonts w:hint="eastAsia" w:eastAsia="宋体" w:cs="宋体"/>
          <w:b/>
          <w:color w:val="auto"/>
          <w:sz w:val="21"/>
          <w:szCs w:val="21"/>
          <w:highlight w:val="none"/>
        </w:rPr>
        <w:t>第三条 组成本合同的有关文件</w:t>
      </w:r>
    </w:p>
    <w:p w14:paraId="7CD3358D">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下列与本次采购活动有关的文件及有关附件是本合同不可分割的组成部分，与本合同具有同等法律效力，这些文件包括但不限于：</w:t>
      </w:r>
    </w:p>
    <w:p w14:paraId="69E45241">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 xml:space="preserve">（1）竞争性磋商文件（编号：   ）          （2）乙方提供的磋商响应文件； </w:t>
      </w:r>
    </w:p>
    <w:p w14:paraId="5FDC5641">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（3）成交通知书；                         （4）甲乙双方商定的其他文件等。</w:t>
      </w:r>
    </w:p>
    <w:p w14:paraId="1C68F6ED">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第四条 合同款结算及支付</w:t>
      </w:r>
    </w:p>
    <w:p w14:paraId="7DA10ACB">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1.本合同项下所有款项均以人民币支付。</w:t>
      </w:r>
    </w:p>
    <w:p w14:paraId="1BCB8560">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2.本合同项下的采购资金由甲方自行支付，乙方向甲方开具发票。</w:t>
      </w:r>
    </w:p>
    <w:p w14:paraId="425D45A0">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3.结算原则：</w:t>
      </w:r>
      <w:r>
        <w:rPr>
          <w:rFonts w:hint="eastAsia" w:ascii="宋体" w:hAnsi="宋体" w:cs="宋体"/>
          <w:color w:val="auto"/>
          <w:szCs w:val="21"/>
          <w:highlight w:val="none"/>
          <w:lang w:val="en-US" w:eastAsia="zh-CN"/>
        </w:rPr>
        <w:t>总价包干</w:t>
      </w:r>
      <w:r>
        <w:rPr>
          <w:rFonts w:hint="eastAsia" w:ascii="宋体" w:hAnsi="宋体" w:cs="宋体"/>
          <w:color w:val="auto"/>
          <w:szCs w:val="21"/>
          <w:highlight w:val="none"/>
        </w:rPr>
        <w:t>。</w:t>
      </w:r>
    </w:p>
    <w:p w14:paraId="27B9F01A">
      <w:pPr>
        <w:keepNext w:val="0"/>
        <w:keepLines w:val="0"/>
        <w:pageBreakBefore w:val="0"/>
        <w:kinsoku/>
        <w:wordWrap/>
        <w:overflowPunct/>
        <w:topLinePunct w:val="0"/>
        <w:autoSpaceDE/>
        <w:autoSpaceDN/>
        <w:bidi w:val="0"/>
        <w:adjustRightInd/>
        <w:snapToGrid/>
        <w:spacing w:line="360" w:lineRule="exact"/>
        <w:ind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rPr>
        <w:t>4.付款方式：</w:t>
      </w:r>
      <w:r>
        <w:rPr>
          <w:rFonts w:hint="eastAsia" w:ascii="宋体" w:hAnsi="宋体" w:eastAsia="宋体" w:cs="宋体"/>
          <w:color w:val="auto"/>
          <w:sz w:val="21"/>
          <w:szCs w:val="21"/>
          <w:highlight w:val="none"/>
        </w:rPr>
        <w:t>对于满足合同约定支付条件的，采购人将在收到发票后15日内按时足额支付采购资金。合同签订支付20%；监理范围内所有项目通过初验后支付40%；监理范围内所有项目通过终验后支付40%。</w:t>
      </w:r>
    </w:p>
    <w:p w14:paraId="1380175E">
      <w:pPr>
        <w:adjustRightInd w:val="0"/>
        <w:snapToGrid w:val="0"/>
        <w:spacing w:line="360" w:lineRule="exact"/>
        <w:ind w:firstLine="426" w:firstLineChars="202"/>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 xml:space="preserve">第五条 </w:t>
      </w:r>
      <w:r>
        <w:rPr>
          <w:rFonts w:hint="eastAsia" w:ascii="宋体" w:hAnsi="宋体" w:cs="宋体"/>
          <w:b/>
          <w:color w:val="auto"/>
          <w:szCs w:val="21"/>
          <w:highlight w:val="none"/>
        </w:rPr>
        <w:t>甲方的权利</w:t>
      </w:r>
    </w:p>
    <w:p w14:paraId="4602C786">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1、甲方有对工程规模、设计标准、规划设计和设计使用功能要求的认定权，以及对工程设计变更的审批权。</w:t>
      </w:r>
    </w:p>
    <w:p w14:paraId="0AE602B5">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2、乙方调换总监理工程师须事先经甲方同意。</w:t>
      </w:r>
    </w:p>
    <w:p w14:paraId="39D37034">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3、甲方有权要求乙方提交咨询报告及咨询业务范围内的过程性、决定性专项报告。</w:t>
      </w:r>
    </w:p>
    <w:p w14:paraId="029D7FB3">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4、甲方有权要求乙方提交监理工作计划、工作周报月报及监理业务范围内的过程性、决定性专项报告。</w:t>
      </w:r>
    </w:p>
    <w:p w14:paraId="44CD2700">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5、当甲方发现乙方人员不按监理合同履行监理职责，或与承建方串通给甲方或工程造成损失的，甲方有权要求乙方更换乙方人员，直到终止合同并要求乙方承担相应的赔偿责任或连带赔偿责任。</w:t>
      </w:r>
    </w:p>
    <w:p w14:paraId="6EA981E6">
      <w:pPr>
        <w:adjustRightInd w:val="0"/>
        <w:snapToGrid w:val="0"/>
        <w:spacing w:line="360" w:lineRule="exact"/>
        <w:ind w:firstLine="426" w:firstLineChars="202"/>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 xml:space="preserve">第六条 </w:t>
      </w:r>
      <w:r>
        <w:rPr>
          <w:rFonts w:hint="eastAsia" w:ascii="宋体" w:hAnsi="宋体" w:cs="宋体"/>
          <w:b/>
          <w:color w:val="auto"/>
          <w:szCs w:val="21"/>
          <w:highlight w:val="none"/>
        </w:rPr>
        <w:t>甲方的义务</w:t>
      </w:r>
    </w:p>
    <w:p w14:paraId="05D9D52B">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1、甲方应当负责工程建设的外部关系的协调，为监理工作提供外部条件。</w:t>
      </w:r>
    </w:p>
    <w:p w14:paraId="4552D25D">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2、甲方应当在双方约定的时间内免费向乙方提供与工程有关的为监理工作所需要的工程资料及相关的设备生产厂家名录。</w:t>
      </w:r>
    </w:p>
    <w:p w14:paraId="563EEE5E">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3、针对乙方书面提交并要求作出决定的一切事宜，甲方应当在专用条款约定的时间内作出书面答复。</w:t>
      </w:r>
    </w:p>
    <w:p w14:paraId="2370A1FF">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4、甲方应免费向乙方提供必要的办公场地和其他办公设施。</w:t>
      </w:r>
    </w:p>
    <w:p w14:paraId="01BBCC18">
      <w:pPr>
        <w:adjustRightInd w:val="0"/>
        <w:snapToGrid w:val="0"/>
        <w:spacing w:line="360" w:lineRule="exact"/>
        <w:ind w:firstLine="426" w:firstLineChars="202"/>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 xml:space="preserve">第七条 </w:t>
      </w:r>
      <w:r>
        <w:rPr>
          <w:rFonts w:hint="eastAsia" w:ascii="宋体" w:hAnsi="宋体" w:cs="宋体"/>
          <w:b/>
          <w:color w:val="auto"/>
          <w:szCs w:val="21"/>
          <w:highlight w:val="none"/>
        </w:rPr>
        <w:t>乙方的权利</w:t>
      </w:r>
    </w:p>
    <w:p w14:paraId="06B1A00E">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1、对工程建设有关事项包括信息系统工程的规划设计、项目实施、使用功能等要求，向甲方的建议权。</w:t>
      </w:r>
    </w:p>
    <w:p w14:paraId="143F6D33">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2、事先征得甲方的同意，对工程设计中的技术问题，按照安全和优化的原则，向设计人提出建议。发现工程设计不符合国家颁布的信息系统工程质量标准或设计合同约定的质量标准时，乙方有权书面报告甲方并要求设计人更正。</w:t>
      </w:r>
    </w:p>
    <w:p w14:paraId="098937B3">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3、审批工程实施的组织设计和技术方案，按照保质量、保工期和降低成本的原则，向承建方提出建议，并向甲方提出书面报告。</w:t>
      </w:r>
    </w:p>
    <w:p w14:paraId="6D043E50">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4、事先向甲方报告，经征得甲方同意后，乙方有权发布开工令、停工令、复工令。</w:t>
      </w:r>
    </w:p>
    <w:p w14:paraId="6FEC8C3D">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5、工程上使用的设备和工程质量的检验权。对于不符合设计要求和合同约定及国家质量标准的构配件、设备，有权通知承建方停止使用；对于不符合规范和质量标准的工序、分部分项工程和不安全施工作业，有权通知承建方停工整改、返工。承建方得到监理项目组或甲方的复工令后才能复工。</w:t>
      </w:r>
    </w:p>
    <w:p w14:paraId="357F8697">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6、工程实施进度的检查、监督权，以及工程实际完成日期提前或超过工程实施合同规定的完成期限的签认权。</w:t>
      </w:r>
    </w:p>
    <w:p w14:paraId="796D948B">
      <w:pPr>
        <w:adjustRightInd w:val="0"/>
        <w:snapToGrid w:val="0"/>
        <w:spacing w:line="360" w:lineRule="exact"/>
        <w:ind w:firstLine="426" w:firstLineChars="202"/>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 xml:space="preserve">第八条 </w:t>
      </w:r>
      <w:r>
        <w:rPr>
          <w:rFonts w:hint="eastAsia" w:ascii="宋体" w:hAnsi="宋体" w:cs="宋体"/>
          <w:b/>
          <w:color w:val="auto"/>
          <w:szCs w:val="21"/>
          <w:highlight w:val="none"/>
        </w:rPr>
        <w:t>乙方的义务</w:t>
      </w:r>
    </w:p>
    <w:p w14:paraId="0DB62922">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1、保证自签订本合同时起至履行完毕本合同项下全部义务时止，始终、不间断的具备符合国家法律、法规、部门规章规定的执行本合同所必需的资质。</w:t>
      </w:r>
    </w:p>
    <w:p w14:paraId="24221628">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2、严格执行国家的法律、法规，守法经营，按章办事，自觉维护甲方的利益。</w:t>
      </w:r>
    </w:p>
    <w:p w14:paraId="131F5E28">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3、接受甲方的检查、监督，严格履行服务承诺，做到诚实守信。</w:t>
      </w:r>
    </w:p>
    <w:p w14:paraId="70BEA34D">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4、加强内部管理，提高监理质量，按照监理合同的有关规定开展监理业务，保证不发生质量问题。</w:t>
      </w:r>
    </w:p>
    <w:p w14:paraId="4BB6E03D">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5、使用甲方提供的设施和物品属甲方的财产。在监理工作完成或中止时，应将其设施和剩余的物品按合同约定的时间和方式移交给甲方。</w:t>
      </w:r>
    </w:p>
    <w:p w14:paraId="214BF8DE">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6、任何时候，乙方均不得泄露与本工程、本合同业务有关的保密资料，不得泄露甲方申明的秘密和设计方、承建方等提供并申明的秘密。</w:t>
      </w:r>
    </w:p>
    <w:p w14:paraId="0CE3B91F">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7、指派符合实际工作需求的咨询工程师，完成合同专用条件中约定的咨询工作范围内的咨询业务。在履行合同义务期间，应按合同约定完成咨询工作，包括但不仅限于在项目申报阶段对项目计划书开展建设必要性、内容完整性、投资匡算合理性的咨询论证、项目立项阶段协助建设单位提炼项目需求等，并向甲方提交咨询过程性、决定性文档，包括但不仅限于咨询文件。</w:t>
      </w:r>
    </w:p>
    <w:p w14:paraId="5B75D993">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8、按合同约定派出监理工作需要的监理项目组及乙方人员，向甲方报送委派的总监理工程师及监理项目组成员名单、监理规划，完成合同专用条件中约定的监理工程范围内的监理业务。在履行合同义务期间，应按合同约定完成工作并定期向甲方报告监理工作。</w:t>
      </w:r>
    </w:p>
    <w:p w14:paraId="5C10B659">
      <w:pPr>
        <w:adjustRightInd w:val="0"/>
        <w:snapToGrid w:val="0"/>
        <w:spacing w:line="360" w:lineRule="exact"/>
        <w:ind w:firstLine="424" w:firstLineChars="202"/>
        <w:rPr>
          <w:rFonts w:hint="eastAsia" w:ascii="宋体" w:hAnsi="宋体" w:cs="宋体"/>
          <w:b w:val="0"/>
          <w:bCs/>
          <w:color w:val="auto"/>
          <w:szCs w:val="21"/>
          <w:highlight w:val="none"/>
        </w:rPr>
      </w:pPr>
      <w:r>
        <w:rPr>
          <w:rFonts w:hint="eastAsia" w:ascii="宋体" w:hAnsi="宋体" w:cs="宋体"/>
          <w:b w:val="0"/>
          <w:bCs/>
          <w:color w:val="auto"/>
          <w:szCs w:val="21"/>
          <w:highlight w:val="none"/>
        </w:rPr>
        <w:t>9、在合同期内监理甲方指定的合同范围内的项目，并根据项目实际需求对下表所列出的部分文档或全部文档进行文档管理。</w:t>
      </w:r>
    </w:p>
    <w:p w14:paraId="46290A8C">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九</w:t>
      </w:r>
      <w:r>
        <w:rPr>
          <w:rFonts w:hint="eastAsia" w:ascii="宋体" w:hAnsi="宋体" w:cs="宋体"/>
          <w:b/>
          <w:color w:val="auto"/>
          <w:szCs w:val="21"/>
          <w:highlight w:val="none"/>
        </w:rPr>
        <w:t>条 违约责任</w:t>
      </w:r>
    </w:p>
    <w:p w14:paraId="69054811">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1.乙方在责任期内，如果由于监理工程师对设计、施工和设备等方面的违法、违规行为造成甲方经济损失的，应该向甲方赔偿，赔偿总额不超过咨询和监理合同总金额。触及法律的，还应承担相应的法律责任。</w:t>
      </w:r>
    </w:p>
    <w:p w14:paraId="16B20F57">
      <w:pPr>
        <w:spacing w:line="360" w:lineRule="exact"/>
        <w:ind w:firstLine="420" w:firstLineChars="200"/>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.其他未尽事宜，以《民法典》等有关法律法规规定为准，无相关规定的，双方协商解决。</w:t>
      </w:r>
    </w:p>
    <w:p w14:paraId="7202A7AA">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十</w:t>
      </w:r>
      <w:r>
        <w:rPr>
          <w:rFonts w:hint="eastAsia" w:ascii="宋体" w:hAnsi="宋体" w:cs="宋体"/>
          <w:b/>
          <w:color w:val="auto"/>
          <w:szCs w:val="21"/>
          <w:highlight w:val="none"/>
        </w:rPr>
        <w:t>条 合同的变更和终止</w:t>
      </w:r>
    </w:p>
    <w:p w14:paraId="4066EE2B">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1.本合同一经签订，甲乙双方不得擅自变更、中止或终止合同。</w:t>
      </w:r>
    </w:p>
    <w:p w14:paraId="7FB51489">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2.除发生法律规定的不能预见、不能避免并不能克服的客观情况外，甲乙双方不得放弃或拒绝履行合同。乙方放弃或拒绝履行合同，履约保证金不予退还。</w:t>
      </w:r>
    </w:p>
    <w:p w14:paraId="1988BA38">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十一</w:t>
      </w:r>
      <w:r>
        <w:rPr>
          <w:rFonts w:hint="eastAsia" w:ascii="宋体" w:hAnsi="宋体" w:cs="宋体"/>
          <w:b/>
          <w:color w:val="auto"/>
          <w:szCs w:val="21"/>
          <w:highlight w:val="none"/>
        </w:rPr>
        <w:t>条 合同的转让</w:t>
      </w:r>
    </w:p>
    <w:p w14:paraId="56528C24">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乙方不得擅自部分或全部转让其应履行的合同义务。</w:t>
      </w:r>
    </w:p>
    <w:p w14:paraId="39483BA7">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十二</w:t>
      </w:r>
      <w:r>
        <w:rPr>
          <w:rFonts w:hint="eastAsia" w:ascii="宋体" w:hAnsi="宋体" w:cs="宋体"/>
          <w:b/>
          <w:color w:val="auto"/>
          <w:szCs w:val="21"/>
          <w:highlight w:val="none"/>
        </w:rPr>
        <w:t>条 不可抗力</w:t>
      </w:r>
    </w:p>
    <w:p w14:paraId="4807B685">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甲、乙方中任何一方，因不可抗力不能按时或完全履行合同的，应及时通知对方，并在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5日内提供相应证明。未履行完合同部分是否继续履行、如何履行等问题，可由双方初步协商，并向主管部门报告。确定为不可抗力原因造成的损失，免予承担责任。</w:t>
      </w:r>
    </w:p>
    <w:p w14:paraId="234064C9">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十三</w:t>
      </w:r>
      <w:r>
        <w:rPr>
          <w:rFonts w:hint="eastAsia" w:ascii="宋体" w:hAnsi="宋体" w:cs="宋体"/>
          <w:b/>
          <w:color w:val="auto"/>
          <w:szCs w:val="21"/>
          <w:highlight w:val="none"/>
        </w:rPr>
        <w:t>条 争议的解决</w:t>
      </w:r>
    </w:p>
    <w:p w14:paraId="01FD7EB5">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1.因履行本合同引起的或与本合同有关的争议，甲、乙双方应首先通过友好协商解决，如果协商不能解决争议，则采取以下第（ ）种方式解决争议：</w:t>
      </w:r>
    </w:p>
    <w:p w14:paraId="67EA1663">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（1）向甲方所在地人民法院提起诉讼；</w:t>
      </w:r>
    </w:p>
    <w:p w14:paraId="5740A323">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（2）向甲方所在地仲裁委员会按其仲裁规则申请仲裁。</w:t>
      </w:r>
    </w:p>
    <w:p w14:paraId="4DF4E66E">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如没有约定，默认采取第2种方式解决争议。</w:t>
      </w:r>
    </w:p>
    <w:p w14:paraId="6D146C02">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2.在法院审理和仲裁期间，除有争议部分外，本合同其他部分应继续履行。</w:t>
      </w:r>
    </w:p>
    <w:p w14:paraId="0596F0FB">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四</w:t>
      </w:r>
      <w:r>
        <w:rPr>
          <w:rFonts w:hint="eastAsia" w:ascii="宋体" w:hAnsi="宋体" w:cs="宋体"/>
          <w:b/>
          <w:color w:val="auto"/>
          <w:szCs w:val="21"/>
          <w:highlight w:val="none"/>
        </w:rPr>
        <w:t xml:space="preserve">条 诚实信用 </w:t>
      </w:r>
    </w:p>
    <w:p w14:paraId="22FD39BC">
      <w:pPr>
        <w:adjustRightInd w:val="0"/>
        <w:snapToGrid w:val="0"/>
        <w:spacing w:line="36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乙方应诚实信用，严格按照竞争性磋商文件要求和磋商承诺履行合同，不向甲方进行商业贿赂或者提供不正当利益。</w:t>
      </w:r>
    </w:p>
    <w:p w14:paraId="04C15CD0">
      <w:pPr>
        <w:adjustRightInd w:val="0"/>
        <w:snapToGrid w:val="0"/>
        <w:spacing w:line="360" w:lineRule="exact"/>
        <w:ind w:firstLine="426" w:firstLineChars="202"/>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 xml:space="preserve">第十五条 </w:t>
      </w:r>
      <w:r>
        <w:rPr>
          <w:rFonts w:hint="eastAsia" w:ascii="宋体" w:hAnsi="宋体" w:cs="宋体"/>
          <w:b/>
          <w:bCs/>
          <w:color w:val="auto"/>
          <w:szCs w:val="21"/>
          <w:highlight w:val="none"/>
        </w:rPr>
        <w:t>其它约定事项</w:t>
      </w:r>
    </w:p>
    <w:p w14:paraId="3F058B97">
      <w:pPr>
        <w:adjustRightInd w:val="0"/>
        <w:snapToGrid w:val="0"/>
        <w:spacing w:line="36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1、未经过对方的书面同意，乙方不得转让其应履行的合同项下的义务，和将部分合同项下的义务分包给其他单位完成。</w:t>
      </w:r>
    </w:p>
    <w:p w14:paraId="2730675B">
      <w:pPr>
        <w:adjustRightInd w:val="0"/>
        <w:snapToGrid w:val="0"/>
        <w:spacing w:line="36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2、乙方不得参与可能与合同规定的与甲方的利益相冲突的任何活动。</w:t>
      </w:r>
    </w:p>
    <w:p w14:paraId="47A7438A">
      <w:pPr>
        <w:adjustRightInd w:val="0"/>
        <w:snapToGrid w:val="0"/>
        <w:spacing w:line="36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3、监理人员在建设单位处工作时，应遵守建设单位相关规章、制度。</w:t>
      </w:r>
    </w:p>
    <w:p w14:paraId="1335C7CD">
      <w:pPr>
        <w:adjustRightInd w:val="0"/>
        <w:snapToGrid w:val="0"/>
        <w:spacing w:line="36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4、任何由乙方依据本合同提交的文件，甲方享有所有权。乙方未取得甲方的同意，不得以任何形式使用上述文件。但乙方保留在提供服务时曾使用的概念、经验、工具、程序开发模块和技术的使用权。</w:t>
      </w:r>
    </w:p>
    <w:p w14:paraId="319F0C3D">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5、本合同未尽事宜，可由甲乙双方商定，并签署书面补充协议。</w:t>
      </w:r>
    </w:p>
    <w:p w14:paraId="1DFEA671">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条 合同生效及其他</w:t>
      </w:r>
    </w:p>
    <w:p w14:paraId="2FB5DFC8">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1.本合同自经甲乙双方授权代表签订并加盖公章后，自签订之日起生效。见证方仅对甲乙双方签订采购合同的事实进行见证，不代表任何承诺或保证，该合同的履行等相关情况均与见证方无任何关系。</w:t>
      </w:r>
    </w:p>
    <w:p w14:paraId="3359959E">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2.本合同一式伍份，甲乙双方各执贰份，代理机构执壹份存档。</w:t>
      </w:r>
    </w:p>
    <w:p w14:paraId="60973178">
      <w:pPr>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3.本合同应按照中华人民共和国的现行法律进行解释。</w:t>
      </w:r>
    </w:p>
    <w:p w14:paraId="7A3B2BB9">
      <w:pPr>
        <w:spacing w:line="400" w:lineRule="exact"/>
        <w:jc w:val="left"/>
        <w:rPr>
          <w:rFonts w:hint="eastAsia" w:ascii="宋体" w:hAnsi="宋体" w:cs="宋体"/>
          <w:b/>
          <w:bCs/>
          <w:color w:val="auto"/>
          <w:szCs w:val="21"/>
          <w:highlight w:val="none"/>
        </w:rPr>
      </w:pPr>
    </w:p>
    <w:p w14:paraId="323FB070">
      <w:pPr>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甲    方</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乙    方</w:t>
      </w:r>
      <w:r>
        <w:rPr>
          <w:rFonts w:hint="eastAsia" w:ascii="宋体" w:hAnsi="宋体" w:cs="宋体"/>
          <w:color w:val="auto"/>
          <w:szCs w:val="21"/>
          <w:highlight w:val="none"/>
        </w:rPr>
        <w:t>：</w:t>
      </w:r>
    </w:p>
    <w:p w14:paraId="2EE6B979">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单位名称（章）：                          单位名称（章）：</w:t>
      </w:r>
    </w:p>
    <w:p w14:paraId="51990B37">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单位地址：                               单位地址：</w:t>
      </w:r>
    </w:p>
    <w:p w14:paraId="10F88F12">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法定代表人：       委托代理人：          法定代表人：     委托代理人：                            </w:t>
      </w:r>
    </w:p>
    <w:p w14:paraId="3A053F3D">
      <w:pPr>
        <w:spacing w:line="400" w:lineRule="exact"/>
        <w:rPr>
          <w:rFonts w:ascii="宋体" w:hAnsi="宋体" w:cs="宋体"/>
          <w:color w:val="auto"/>
          <w:szCs w:val="21"/>
          <w:highlight w:val="none"/>
        </w:rPr>
      </w:pPr>
      <w:r>
        <w:rPr>
          <w:rFonts w:hint="eastAsia" w:ascii="宋体" w:hAnsi="宋体" w:cs="宋体"/>
          <w:color w:val="auto"/>
          <w:szCs w:val="21"/>
          <w:highlight w:val="none"/>
        </w:rPr>
        <w:t>电话：                                   电话：            传真：</w:t>
      </w:r>
    </w:p>
    <w:p w14:paraId="0300C9BC">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传真：                                   开户银行：        账号：                                                                                 </w:t>
      </w:r>
    </w:p>
    <w:p w14:paraId="0D1E28B2">
      <w:pPr>
        <w:spacing w:line="400" w:lineRule="exact"/>
        <w:rPr>
          <w:rFonts w:ascii="宋体" w:hAnsi="宋体" w:cs="宋体"/>
          <w:b/>
          <w:bCs/>
          <w:color w:val="auto"/>
          <w:szCs w:val="21"/>
          <w:highlight w:val="none"/>
        </w:rPr>
      </w:pPr>
    </w:p>
    <w:p w14:paraId="03A8C47D">
      <w:pPr>
        <w:spacing w:line="400" w:lineRule="exact"/>
        <w:rPr>
          <w:rFonts w:ascii="宋体" w:hAnsi="宋体" w:cs="宋体"/>
          <w:color w:val="auto"/>
          <w:szCs w:val="21"/>
          <w:highlight w:val="none"/>
        </w:rPr>
      </w:pPr>
      <w:r>
        <w:rPr>
          <w:rFonts w:hint="eastAsia" w:ascii="宋体" w:hAnsi="宋体" w:cs="宋体"/>
          <w:b/>
          <w:bCs/>
          <w:color w:val="auto"/>
          <w:szCs w:val="21"/>
          <w:highlight w:val="none"/>
        </w:rPr>
        <w:t>见证方</w:t>
      </w:r>
      <w:r>
        <w:rPr>
          <w:rFonts w:hint="eastAsia" w:ascii="宋体" w:hAnsi="宋体" w:cs="宋体"/>
          <w:color w:val="auto"/>
          <w:szCs w:val="21"/>
          <w:highlight w:val="none"/>
        </w:rPr>
        <w:t>：</w:t>
      </w:r>
    </w:p>
    <w:p w14:paraId="341E58C3">
      <w:pPr>
        <w:tabs>
          <w:tab w:val="left" w:pos="3780"/>
        </w:tabs>
        <w:spacing w:line="400" w:lineRule="exact"/>
        <w:rPr>
          <w:rFonts w:ascii="宋体" w:hAnsi="宋体" w:cs="宋体"/>
          <w:color w:val="auto"/>
          <w:szCs w:val="21"/>
          <w:highlight w:val="none"/>
        </w:rPr>
      </w:pPr>
      <w:r>
        <w:rPr>
          <w:rFonts w:hint="eastAsia" w:ascii="宋体" w:hAnsi="宋体" w:cs="宋体"/>
          <w:color w:val="auto"/>
          <w:szCs w:val="21"/>
          <w:highlight w:val="none"/>
        </w:rPr>
        <w:t>代理机构（章）：</w:t>
      </w:r>
      <w:r>
        <w:rPr>
          <w:rFonts w:hint="eastAsia" w:ascii="宋体" w:hAnsi="宋体" w:cs="宋体"/>
          <w:b/>
          <w:bCs/>
          <w:color w:val="auto"/>
          <w:szCs w:val="21"/>
          <w:highlight w:val="none"/>
          <w:u w:val="single"/>
        </w:rPr>
        <w:t>常州市城投建设工程招标有限公司</w:t>
      </w:r>
    </w:p>
    <w:p w14:paraId="19729A84">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w:t>
      </w:r>
    </w:p>
    <w:p w14:paraId="0B859CAF">
      <w:pPr>
        <w:jc w:val="both"/>
        <w:rPr>
          <w:rFonts w:ascii="宋体" w:hAnsi="宋体" w:cs="宋体"/>
          <w:b/>
          <w:color w:val="auto"/>
          <w:sz w:val="30"/>
          <w:szCs w:val="30"/>
          <w:highlight w:val="none"/>
        </w:rPr>
      </w:pPr>
      <w:r>
        <w:rPr>
          <w:rFonts w:hint="eastAsia" w:ascii="宋体" w:hAnsi="宋体" w:cs="宋体"/>
          <w:color w:val="auto"/>
          <w:szCs w:val="21"/>
          <w:highlight w:val="none"/>
        </w:rPr>
        <w:t>经办人：                               电  话：</w:t>
      </w:r>
    </w:p>
    <w:p w14:paraId="6A7F9FCC">
      <w:pPr>
        <w:jc w:val="center"/>
        <w:rPr>
          <w:rFonts w:ascii="宋体" w:hAnsi="宋体" w:cs="宋体"/>
          <w:b/>
          <w:color w:val="auto"/>
          <w:sz w:val="30"/>
          <w:szCs w:val="30"/>
          <w:highlight w:val="none"/>
        </w:rPr>
      </w:pPr>
    </w:p>
    <w:p w14:paraId="2EF10A3F">
      <w:pPr>
        <w:spacing w:line="360" w:lineRule="exact"/>
        <w:ind w:firstLine="420" w:firstLineChars="200"/>
        <w:jc w:val="left"/>
        <w:rPr>
          <w:color w:val="auto"/>
          <w:szCs w:val="21"/>
          <w:highlight w:val="none"/>
        </w:rPr>
      </w:pPr>
      <w:r>
        <w:rPr>
          <w:rFonts w:hint="eastAsia" w:ascii="宋体" w:hAnsi="宋体" w:cs="宋体"/>
          <w:color w:val="auto"/>
          <w:szCs w:val="21"/>
          <w:highlight w:val="none"/>
          <w:u w:val="single"/>
        </w:rPr>
        <w:t>注：本合同为服务合同的草稿，在最终实施签订时，委托人有权根据实际情况对合同内容进行修改完善，合同修改原则上不违背承诺情况，若双方对合同修改存在争议，应本着协商一致的原则予以解决。</w:t>
      </w:r>
    </w:p>
    <w:p w14:paraId="32CA43AC">
      <w:pPr>
        <w:jc w:val="center"/>
        <w:rPr>
          <w:rFonts w:ascii="宋体" w:hAnsi="宋体" w:cs="宋体"/>
          <w:b/>
          <w:color w:val="auto"/>
          <w:sz w:val="30"/>
          <w:szCs w:val="30"/>
          <w:highlight w:val="none"/>
        </w:rPr>
      </w:pPr>
    </w:p>
    <w:p w14:paraId="6C62D842">
      <w:pPr>
        <w:jc w:val="center"/>
        <w:rPr>
          <w:rFonts w:ascii="宋体" w:hAnsi="宋体" w:cs="宋体"/>
          <w:b/>
          <w:color w:val="auto"/>
          <w:sz w:val="30"/>
          <w:szCs w:val="30"/>
          <w:highlight w:val="none"/>
        </w:rPr>
      </w:pPr>
    </w:p>
    <w:p w14:paraId="2BBDE6EF">
      <w:pPr>
        <w:jc w:val="center"/>
        <w:rPr>
          <w:rFonts w:ascii="宋体" w:hAnsi="宋体" w:cs="宋体"/>
          <w:b/>
          <w:color w:val="auto"/>
          <w:sz w:val="30"/>
          <w:szCs w:val="30"/>
          <w:highlight w:val="none"/>
        </w:rPr>
      </w:pPr>
    </w:p>
    <w:p w14:paraId="5153E3A7">
      <w:pPr>
        <w:jc w:val="center"/>
        <w:rPr>
          <w:rFonts w:ascii="宋体" w:hAnsi="宋体" w:cs="宋体"/>
          <w:b/>
          <w:color w:val="auto"/>
          <w:sz w:val="30"/>
          <w:szCs w:val="30"/>
          <w:highlight w:val="none"/>
        </w:rPr>
      </w:pPr>
    </w:p>
    <w:p w14:paraId="7778942D">
      <w:pPr>
        <w:jc w:val="center"/>
        <w:rPr>
          <w:rFonts w:ascii="宋体" w:hAnsi="宋体" w:cs="宋体"/>
          <w:b/>
          <w:color w:val="auto"/>
          <w:sz w:val="30"/>
          <w:szCs w:val="30"/>
          <w:highlight w:val="none"/>
        </w:rPr>
      </w:pPr>
    </w:p>
    <w:p w14:paraId="79F38011">
      <w:pPr>
        <w:widowControl/>
        <w:jc w:val="left"/>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0F44B6B6">
      <w:pPr>
        <w:pStyle w:val="2"/>
        <w:rPr>
          <w:rFonts w:ascii="宋体" w:hAnsi="宋体" w:cs="宋体"/>
          <w:color w:val="auto"/>
          <w:highlight w:val="none"/>
        </w:rPr>
      </w:pPr>
      <w:bookmarkStart w:id="12" w:name="_Toc17537930"/>
      <w:r>
        <w:rPr>
          <w:rFonts w:hint="eastAsia" w:ascii="宋体" w:hAnsi="宋体" w:cs="宋体"/>
          <w:color w:val="auto"/>
          <w:highlight w:val="none"/>
        </w:rPr>
        <w:t>第四章  评审细则</w:t>
      </w:r>
      <w:bookmarkEnd w:id="12"/>
    </w:p>
    <w:p w14:paraId="7FCC35E5">
      <w:pPr>
        <w:snapToGrid w:val="0"/>
        <w:spacing w:line="360" w:lineRule="exact"/>
        <w:ind w:firstLine="422" w:firstLineChars="200"/>
        <w:rPr>
          <w:rFonts w:ascii="宋体" w:hAnsi="宋体" w:cs="宋体"/>
          <w:color w:val="auto"/>
          <w:szCs w:val="21"/>
          <w:highlight w:val="none"/>
        </w:rPr>
      </w:pPr>
      <w:bookmarkStart w:id="13" w:name="_Toc17537931"/>
      <w:r>
        <w:rPr>
          <w:rFonts w:hint="eastAsia" w:cs="宋体" w:asciiTheme="minorEastAsia" w:hAnsiTheme="minorEastAsia" w:eastAsiaTheme="minorEastAsia"/>
          <w:b/>
          <w:color w:val="auto"/>
          <w:szCs w:val="21"/>
          <w:highlight w:val="none"/>
        </w:rPr>
        <w:t>一、本项目采用综合评分法</w:t>
      </w:r>
      <w:r>
        <w:rPr>
          <w:rFonts w:hint="eastAsia" w:ascii="宋体" w:hAnsi="宋体" w:cs="宋体"/>
          <w:color w:val="auto"/>
          <w:szCs w:val="21"/>
          <w:highlight w:val="none"/>
        </w:rPr>
        <w:t>，由磋商小组对所有有效投标进行详细的评分，采用百分制计分方法。评审时，磋商小组各成员遵循公平、公正、择优原则，独立对每个有效供应商的标书进行评价、打分，各个供应商的评审后最终得分为汇总计算所有评委所评定分值的平均值（保留2位小数）。</w:t>
      </w:r>
    </w:p>
    <w:p w14:paraId="5001836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审结果按评审后得分由高到低顺序排列。得分相同的，按磋商报价由低到高顺序排列。得分且磋商报价相同的并列。磋商响应文件满足磋商文件全部实质性要求，且按照评审因素的量化指标评审得分最高的供应商为排名第一的成交候选人。</w:t>
      </w:r>
    </w:p>
    <w:p w14:paraId="3B17B757">
      <w:pPr>
        <w:spacing w:line="360" w:lineRule="exact"/>
        <w:ind w:firstLine="422" w:firstLineChars="200"/>
        <w:rPr>
          <w:rFonts w:ascii="宋体" w:hAnsi="宋体" w:cs="宋体"/>
          <w:b/>
          <w:color w:val="auto"/>
          <w:szCs w:val="21"/>
          <w:highlight w:val="none"/>
        </w:rPr>
      </w:pPr>
      <w:r>
        <w:rPr>
          <w:rFonts w:hint="eastAsia" w:cs="宋体" w:asciiTheme="minorEastAsia" w:hAnsiTheme="minorEastAsia" w:eastAsiaTheme="minorEastAsia"/>
          <w:b/>
          <w:color w:val="auto"/>
          <w:szCs w:val="21"/>
          <w:highlight w:val="none"/>
        </w:rPr>
        <w:t>二、评分细则：</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6"/>
        <w:gridCol w:w="4302"/>
        <w:gridCol w:w="735"/>
        <w:gridCol w:w="2309"/>
      </w:tblGrid>
      <w:tr w14:paraId="7037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6" w:type="dxa"/>
            <w:tcMar>
              <w:top w:w="0" w:type="dxa"/>
              <w:left w:w="108" w:type="dxa"/>
              <w:bottom w:w="0" w:type="dxa"/>
              <w:right w:w="108" w:type="dxa"/>
            </w:tcMar>
            <w:vAlign w:val="center"/>
          </w:tcPr>
          <w:p w14:paraId="41B2B4C8">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评分因素</w:t>
            </w:r>
          </w:p>
        </w:tc>
        <w:tc>
          <w:tcPr>
            <w:tcW w:w="4302" w:type="dxa"/>
            <w:tcMar>
              <w:top w:w="0" w:type="dxa"/>
              <w:left w:w="108" w:type="dxa"/>
              <w:bottom w:w="0" w:type="dxa"/>
              <w:right w:w="108" w:type="dxa"/>
            </w:tcMar>
            <w:vAlign w:val="center"/>
          </w:tcPr>
          <w:p w14:paraId="48EAB706">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评分标准</w:t>
            </w:r>
          </w:p>
        </w:tc>
        <w:tc>
          <w:tcPr>
            <w:tcW w:w="735" w:type="dxa"/>
            <w:tcMar>
              <w:top w:w="0" w:type="dxa"/>
              <w:left w:w="108" w:type="dxa"/>
              <w:bottom w:w="0" w:type="dxa"/>
              <w:right w:w="108" w:type="dxa"/>
            </w:tcMar>
            <w:vAlign w:val="center"/>
          </w:tcPr>
          <w:p w14:paraId="6FC77409">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分值</w:t>
            </w:r>
          </w:p>
        </w:tc>
        <w:tc>
          <w:tcPr>
            <w:tcW w:w="2309" w:type="dxa"/>
            <w:tcMar>
              <w:top w:w="0" w:type="dxa"/>
              <w:left w:w="108" w:type="dxa"/>
              <w:bottom w:w="0" w:type="dxa"/>
              <w:right w:w="108" w:type="dxa"/>
            </w:tcMar>
            <w:vAlign w:val="center"/>
          </w:tcPr>
          <w:p w14:paraId="2BB3E387">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评审材料</w:t>
            </w:r>
          </w:p>
        </w:tc>
      </w:tr>
      <w:tr w14:paraId="6EE0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6" w:type="dxa"/>
            <w:tcMar>
              <w:top w:w="0" w:type="dxa"/>
              <w:left w:w="108" w:type="dxa"/>
              <w:bottom w:w="0" w:type="dxa"/>
              <w:right w:w="108" w:type="dxa"/>
            </w:tcMar>
            <w:vAlign w:val="center"/>
          </w:tcPr>
          <w:p w14:paraId="67CF2521">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1.1</w:t>
            </w:r>
          </w:p>
        </w:tc>
        <w:tc>
          <w:tcPr>
            <w:tcW w:w="4302" w:type="dxa"/>
            <w:tcMar>
              <w:top w:w="0" w:type="dxa"/>
              <w:left w:w="108" w:type="dxa"/>
              <w:bottom w:w="0" w:type="dxa"/>
              <w:right w:w="108" w:type="dxa"/>
            </w:tcMar>
            <w:vAlign w:val="center"/>
          </w:tcPr>
          <w:p w14:paraId="7D44309C">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采用低价优先法计算，即满足招标文件要求且投标价格最低的投标报价为评标基准价，其价格分为满分。其他投标人的价格分统一按照下列公式计算： 投标报价得分评标基准价／投标报价×价格权值×100。</w:t>
            </w:r>
          </w:p>
        </w:tc>
        <w:tc>
          <w:tcPr>
            <w:tcW w:w="735" w:type="dxa"/>
            <w:tcMar>
              <w:top w:w="0" w:type="dxa"/>
              <w:left w:w="108" w:type="dxa"/>
              <w:bottom w:w="0" w:type="dxa"/>
              <w:right w:w="108" w:type="dxa"/>
            </w:tcMar>
            <w:vAlign w:val="center"/>
          </w:tcPr>
          <w:p w14:paraId="4D8596A7">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20</w:t>
            </w:r>
          </w:p>
        </w:tc>
        <w:tc>
          <w:tcPr>
            <w:tcW w:w="2309" w:type="dxa"/>
            <w:tcMar>
              <w:top w:w="0" w:type="dxa"/>
              <w:left w:w="108" w:type="dxa"/>
              <w:bottom w:w="0" w:type="dxa"/>
              <w:right w:w="108" w:type="dxa"/>
            </w:tcMar>
            <w:vAlign w:val="center"/>
          </w:tcPr>
          <w:p w14:paraId="322E4547">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报价</w:t>
            </w:r>
          </w:p>
        </w:tc>
      </w:tr>
      <w:tr w14:paraId="49A1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8522" w:type="dxa"/>
            <w:gridSpan w:val="4"/>
            <w:tcMar>
              <w:top w:w="0" w:type="dxa"/>
              <w:left w:w="108" w:type="dxa"/>
              <w:bottom w:w="0" w:type="dxa"/>
              <w:right w:w="108" w:type="dxa"/>
            </w:tcMar>
            <w:vAlign w:val="center"/>
          </w:tcPr>
          <w:p w14:paraId="4E71D850">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bCs/>
                <w:color w:val="auto"/>
                <w:kern w:val="0"/>
                <w:sz w:val="21"/>
                <w:szCs w:val="21"/>
                <w:highlight w:val="none"/>
              </w:rPr>
              <w:t>主观分</w:t>
            </w:r>
            <w:r>
              <w:rPr>
                <w:rFonts w:hint="eastAsia" w:ascii="宋体" w:hAnsi="宋体" w:eastAsia="宋体" w:cs="宋体"/>
                <w:b w:val="0"/>
                <w:bCs w:val="0"/>
                <w:color w:val="auto"/>
                <w:kern w:val="0"/>
                <w:sz w:val="21"/>
                <w:szCs w:val="21"/>
                <w:highlight w:val="none"/>
              </w:rPr>
              <w:t>  </w:t>
            </w:r>
          </w:p>
        </w:tc>
      </w:tr>
      <w:tr w14:paraId="2E3E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6" w:type="dxa"/>
            <w:tcMar>
              <w:top w:w="0" w:type="dxa"/>
              <w:left w:w="108" w:type="dxa"/>
              <w:bottom w:w="0" w:type="dxa"/>
              <w:right w:w="108" w:type="dxa"/>
            </w:tcMar>
            <w:vAlign w:val="center"/>
          </w:tcPr>
          <w:p w14:paraId="02C4FE9C">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2.1</w:t>
            </w:r>
          </w:p>
        </w:tc>
        <w:tc>
          <w:tcPr>
            <w:tcW w:w="4302" w:type="dxa"/>
            <w:tcMar>
              <w:top w:w="0" w:type="dxa"/>
              <w:left w:w="108" w:type="dxa"/>
              <w:bottom w:w="0" w:type="dxa"/>
              <w:right w:w="108" w:type="dxa"/>
            </w:tcMar>
            <w:vAlign w:val="center"/>
          </w:tcPr>
          <w:p w14:paraId="62ACE885">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项目建设难点分析及监理应对措施：投标人须对本项目整体建设情况进行调研，能够正确理解本项目需求，把握监理重点、难点、风险认识深刻、描述全面准确，解决方案科学、系统、安全、经济，可操作性强，得9分；对本项目监理重点、难点、风险认识比较深刻、描述比较全面准确，解决方案比较科学、系统、安全、经济，可操作性比较强，得6分；对本项目监理重点、难点、风险认识不够深刻、描述不够全面准确，解决方案不够科学、系统、安全、经济，可操作性不够强，得3分；不提供不得分。</w:t>
            </w:r>
          </w:p>
        </w:tc>
        <w:tc>
          <w:tcPr>
            <w:tcW w:w="735" w:type="dxa"/>
            <w:tcMar>
              <w:top w:w="0" w:type="dxa"/>
              <w:left w:w="108" w:type="dxa"/>
              <w:bottom w:w="0" w:type="dxa"/>
              <w:right w:w="108" w:type="dxa"/>
            </w:tcMar>
            <w:vAlign w:val="center"/>
          </w:tcPr>
          <w:p w14:paraId="1B866653">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9</w:t>
            </w:r>
          </w:p>
        </w:tc>
        <w:tc>
          <w:tcPr>
            <w:tcW w:w="2309" w:type="dxa"/>
            <w:tcMar>
              <w:top w:w="0" w:type="dxa"/>
              <w:left w:w="108" w:type="dxa"/>
              <w:bottom w:w="0" w:type="dxa"/>
              <w:right w:w="108" w:type="dxa"/>
            </w:tcMar>
            <w:vAlign w:val="center"/>
          </w:tcPr>
          <w:p w14:paraId="608A5673">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p>
        </w:tc>
      </w:tr>
      <w:tr w14:paraId="6248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6" w:type="dxa"/>
            <w:tcMar>
              <w:top w:w="0" w:type="dxa"/>
              <w:left w:w="108" w:type="dxa"/>
              <w:bottom w:w="0" w:type="dxa"/>
              <w:right w:w="108" w:type="dxa"/>
            </w:tcMar>
            <w:vAlign w:val="center"/>
          </w:tcPr>
          <w:p w14:paraId="2AE1F44E">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2.2</w:t>
            </w:r>
          </w:p>
        </w:tc>
        <w:tc>
          <w:tcPr>
            <w:tcW w:w="4302" w:type="dxa"/>
            <w:tcMar>
              <w:top w:w="0" w:type="dxa"/>
              <w:left w:w="108" w:type="dxa"/>
              <w:bottom w:w="0" w:type="dxa"/>
              <w:right w:w="108" w:type="dxa"/>
            </w:tcMar>
            <w:vAlign w:val="center"/>
          </w:tcPr>
          <w:p w14:paraId="5111531A">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质量控制：质量控制方法明确，针对本项目硬件和软件安装、调试等施工内容有明确的质量控制点或者监理要点，实施方法合理可行，得5分；质量控制方法比较明确，针对本项目硬件和软件安装、调试等施工内容有比较明确的质量控制点或者监理要点，实施方法比较合理可行，得4分；质量控制方法不够明确，针对本项目硬件和软件安装、调试等施工内容没有明确的质量控制点或者监理要点，实施方法不够合理可行，得3分；不提供不得分。</w:t>
            </w:r>
          </w:p>
        </w:tc>
        <w:tc>
          <w:tcPr>
            <w:tcW w:w="735" w:type="dxa"/>
            <w:tcMar>
              <w:top w:w="0" w:type="dxa"/>
              <w:left w:w="108" w:type="dxa"/>
              <w:bottom w:w="0" w:type="dxa"/>
              <w:right w:w="108" w:type="dxa"/>
            </w:tcMar>
            <w:vAlign w:val="center"/>
          </w:tcPr>
          <w:p w14:paraId="1DAB75B5">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w:t>
            </w:r>
          </w:p>
        </w:tc>
        <w:tc>
          <w:tcPr>
            <w:tcW w:w="2309" w:type="dxa"/>
            <w:tcMar>
              <w:top w:w="0" w:type="dxa"/>
              <w:left w:w="108" w:type="dxa"/>
              <w:bottom w:w="0" w:type="dxa"/>
              <w:right w:w="108" w:type="dxa"/>
            </w:tcMar>
            <w:vAlign w:val="center"/>
          </w:tcPr>
          <w:p w14:paraId="207863AB">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p>
        </w:tc>
      </w:tr>
      <w:tr w14:paraId="6DCE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6" w:type="dxa"/>
            <w:tcMar>
              <w:top w:w="0" w:type="dxa"/>
              <w:left w:w="108" w:type="dxa"/>
              <w:bottom w:w="0" w:type="dxa"/>
              <w:right w:w="108" w:type="dxa"/>
            </w:tcMar>
            <w:vAlign w:val="center"/>
          </w:tcPr>
          <w:p w14:paraId="7E47FCD2">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2.3</w:t>
            </w:r>
          </w:p>
        </w:tc>
        <w:tc>
          <w:tcPr>
            <w:tcW w:w="4302" w:type="dxa"/>
            <w:tcMar>
              <w:top w:w="0" w:type="dxa"/>
              <w:left w:w="108" w:type="dxa"/>
              <w:bottom w:w="0" w:type="dxa"/>
              <w:right w:w="108" w:type="dxa"/>
            </w:tcMar>
            <w:vAlign w:val="center"/>
          </w:tcPr>
          <w:p w14:paraId="0B388AE2">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进度控制：进度控制方法明确，进度控制流程详细，进度风险管理方法详细，针对项目实施、验收阶段的进度控制有详细的描述，得5分；进度控制方法比较明确，进度控制流程比较详细，进度风险管理方法比较详细，针对项目实施、验收阶段的进度控制有比较详细的描述，得4分；进度控制方法不够明确，进度控制流程不够详细，进度风险管理方法不够详细，针对项目实施、验收阶段的进度控制没有详细的描述，得3分；不提供不得分。</w:t>
            </w:r>
          </w:p>
        </w:tc>
        <w:tc>
          <w:tcPr>
            <w:tcW w:w="735" w:type="dxa"/>
            <w:tcMar>
              <w:top w:w="0" w:type="dxa"/>
              <w:left w:w="108" w:type="dxa"/>
              <w:bottom w:w="0" w:type="dxa"/>
              <w:right w:w="108" w:type="dxa"/>
            </w:tcMar>
            <w:vAlign w:val="center"/>
          </w:tcPr>
          <w:p w14:paraId="74DC3F86">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w:t>
            </w:r>
          </w:p>
        </w:tc>
        <w:tc>
          <w:tcPr>
            <w:tcW w:w="2309" w:type="dxa"/>
            <w:tcMar>
              <w:top w:w="0" w:type="dxa"/>
              <w:left w:w="108" w:type="dxa"/>
              <w:bottom w:w="0" w:type="dxa"/>
              <w:right w:w="108" w:type="dxa"/>
            </w:tcMar>
            <w:vAlign w:val="center"/>
          </w:tcPr>
          <w:p w14:paraId="0319230E">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p>
        </w:tc>
      </w:tr>
      <w:tr w14:paraId="067E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6" w:type="dxa"/>
            <w:tcMar>
              <w:top w:w="0" w:type="dxa"/>
              <w:left w:w="108" w:type="dxa"/>
              <w:bottom w:w="0" w:type="dxa"/>
              <w:right w:w="108" w:type="dxa"/>
            </w:tcMar>
            <w:vAlign w:val="center"/>
          </w:tcPr>
          <w:p w14:paraId="4A73340C">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2.4</w:t>
            </w:r>
          </w:p>
        </w:tc>
        <w:tc>
          <w:tcPr>
            <w:tcW w:w="4302" w:type="dxa"/>
            <w:tcMar>
              <w:top w:w="0" w:type="dxa"/>
              <w:left w:w="108" w:type="dxa"/>
              <w:bottom w:w="0" w:type="dxa"/>
              <w:right w:w="108" w:type="dxa"/>
            </w:tcMar>
            <w:vAlign w:val="center"/>
          </w:tcPr>
          <w:p w14:paraId="1C7CD5FB">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投资控制：投资控制流程明确，控制方法详细，控制方法可行性强，得5分；投资控制流程比较明确，控制方法比较详细，控制方法可行性比较强，得4分；投资控制流程不够明确，控制方法不够详细，控制方法可行性不强，得3分；不提供不得分。</w:t>
            </w:r>
          </w:p>
        </w:tc>
        <w:tc>
          <w:tcPr>
            <w:tcW w:w="735" w:type="dxa"/>
            <w:tcMar>
              <w:top w:w="0" w:type="dxa"/>
              <w:left w:w="108" w:type="dxa"/>
              <w:bottom w:w="0" w:type="dxa"/>
              <w:right w:w="108" w:type="dxa"/>
            </w:tcMar>
            <w:vAlign w:val="center"/>
          </w:tcPr>
          <w:p w14:paraId="5EB3FB7A">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w:t>
            </w:r>
          </w:p>
        </w:tc>
        <w:tc>
          <w:tcPr>
            <w:tcW w:w="2309" w:type="dxa"/>
            <w:tcMar>
              <w:top w:w="0" w:type="dxa"/>
              <w:left w:w="108" w:type="dxa"/>
              <w:bottom w:w="0" w:type="dxa"/>
              <w:right w:w="108" w:type="dxa"/>
            </w:tcMar>
            <w:vAlign w:val="center"/>
          </w:tcPr>
          <w:p w14:paraId="1E493421">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p>
        </w:tc>
      </w:tr>
      <w:tr w14:paraId="3DCB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6" w:type="dxa"/>
            <w:tcMar>
              <w:top w:w="0" w:type="dxa"/>
              <w:left w:w="108" w:type="dxa"/>
              <w:bottom w:w="0" w:type="dxa"/>
              <w:right w:w="108" w:type="dxa"/>
            </w:tcMar>
            <w:vAlign w:val="center"/>
          </w:tcPr>
          <w:p w14:paraId="3BC485BF">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2.5</w:t>
            </w:r>
          </w:p>
        </w:tc>
        <w:tc>
          <w:tcPr>
            <w:tcW w:w="4302" w:type="dxa"/>
            <w:tcMar>
              <w:top w:w="0" w:type="dxa"/>
              <w:left w:w="108" w:type="dxa"/>
              <w:bottom w:w="0" w:type="dxa"/>
              <w:right w:w="108" w:type="dxa"/>
            </w:tcMar>
            <w:vAlign w:val="center"/>
          </w:tcPr>
          <w:p w14:paraId="50B87D9E">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变更控制：变更控制流程明确，控制方法详细，控制方法可行性强，得5分；变更控制流程比较明确，控制方法比较详细，控制方法可行性比较强，得4分；变更控制流程不够明确，控制方法不够详细，控制方法可行性不强，得3分；不提供不得分。</w:t>
            </w:r>
          </w:p>
        </w:tc>
        <w:tc>
          <w:tcPr>
            <w:tcW w:w="735" w:type="dxa"/>
            <w:tcMar>
              <w:top w:w="0" w:type="dxa"/>
              <w:left w:w="108" w:type="dxa"/>
              <w:bottom w:w="0" w:type="dxa"/>
              <w:right w:w="108" w:type="dxa"/>
            </w:tcMar>
            <w:vAlign w:val="center"/>
          </w:tcPr>
          <w:p w14:paraId="09EB41B9">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w:t>
            </w:r>
          </w:p>
        </w:tc>
        <w:tc>
          <w:tcPr>
            <w:tcW w:w="2309" w:type="dxa"/>
            <w:tcMar>
              <w:top w:w="0" w:type="dxa"/>
              <w:left w:w="108" w:type="dxa"/>
              <w:bottom w:w="0" w:type="dxa"/>
              <w:right w:w="108" w:type="dxa"/>
            </w:tcMar>
            <w:vAlign w:val="center"/>
          </w:tcPr>
          <w:p w14:paraId="21D52EEC">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p>
        </w:tc>
      </w:tr>
      <w:tr w14:paraId="2DA2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6" w:type="dxa"/>
            <w:tcMar>
              <w:top w:w="0" w:type="dxa"/>
              <w:left w:w="108" w:type="dxa"/>
              <w:bottom w:w="0" w:type="dxa"/>
              <w:right w:w="108" w:type="dxa"/>
            </w:tcMar>
            <w:vAlign w:val="center"/>
          </w:tcPr>
          <w:p w14:paraId="7E363FF7">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2.6</w:t>
            </w:r>
          </w:p>
        </w:tc>
        <w:tc>
          <w:tcPr>
            <w:tcW w:w="4302" w:type="dxa"/>
            <w:tcMar>
              <w:top w:w="0" w:type="dxa"/>
              <w:left w:w="108" w:type="dxa"/>
              <w:bottom w:w="0" w:type="dxa"/>
              <w:right w:w="108" w:type="dxa"/>
            </w:tcMar>
            <w:vAlign w:val="center"/>
          </w:tcPr>
          <w:p w14:paraId="33BAF64C">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安全管理：安全管理方法科学、措施合理可行，得5分；安全管理方法比较科学、措施比较合理可行，得4分；安全管理方法不够科学、措施不够合理可行，得3分；不提供不得分。</w:t>
            </w:r>
          </w:p>
        </w:tc>
        <w:tc>
          <w:tcPr>
            <w:tcW w:w="735" w:type="dxa"/>
            <w:tcMar>
              <w:top w:w="0" w:type="dxa"/>
              <w:left w:w="108" w:type="dxa"/>
              <w:bottom w:w="0" w:type="dxa"/>
              <w:right w:w="108" w:type="dxa"/>
            </w:tcMar>
            <w:vAlign w:val="center"/>
          </w:tcPr>
          <w:p w14:paraId="79D7E225">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w:t>
            </w:r>
          </w:p>
        </w:tc>
        <w:tc>
          <w:tcPr>
            <w:tcW w:w="2309" w:type="dxa"/>
            <w:tcMar>
              <w:top w:w="0" w:type="dxa"/>
              <w:left w:w="108" w:type="dxa"/>
              <w:bottom w:w="0" w:type="dxa"/>
              <w:right w:w="108" w:type="dxa"/>
            </w:tcMar>
            <w:vAlign w:val="center"/>
          </w:tcPr>
          <w:p w14:paraId="42F907EF">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p>
        </w:tc>
      </w:tr>
      <w:tr w14:paraId="2824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6" w:type="dxa"/>
            <w:tcMar>
              <w:top w:w="0" w:type="dxa"/>
              <w:left w:w="108" w:type="dxa"/>
              <w:bottom w:w="0" w:type="dxa"/>
              <w:right w:w="108" w:type="dxa"/>
            </w:tcMar>
            <w:vAlign w:val="center"/>
          </w:tcPr>
          <w:p w14:paraId="3F24E4EC">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2.7</w:t>
            </w:r>
          </w:p>
        </w:tc>
        <w:tc>
          <w:tcPr>
            <w:tcW w:w="4302" w:type="dxa"/>
            <w:tcMar>
              <w:top w:w="0" w:type="dxa"/>
              <w:left w:w="108" w:type="dxa"/>
              <w:bottom w:w="0" w:type="dxa"/>
              <w:right w:w="108" w:type="dxa"/>
            </w:tcMar>
            <w:vAlign w:val="center"/>
          </w:tcPr>
          <w:p w14:paraId="1C0F88EF">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合同管理：合同管理流程明确，合同履行管理和索赔处理有详细的描述，得5分；有比较明确的描述，得4分；描述不够明确，得3分；不提供不得分。</w:t>
            </w:r>
          </w:p>
        </w:tc>
        <w:tc>
          <w:tcPr>
            <w:tcW w:w="735" w:type="dxa"/>
            <w:tcMar>
              <w:top w:w="0" w:type="dxa"/>
              <w:left w:w="108" w:type="dxa"/>
              <w:bottom w:w="0" w:type="dxa"/>
              <w:right w:w="108" w:type="dxa"/>
            </w:tcMar>
            <w:vAlign w:val="center"/>
          </w:tcPr>
          <w:p w14:paraId="4BC1EE9D">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w:t>
            </w:r>
          </w:p>
        </w:tc>
        <w:tc>
          <w:tcPr>
            <w:tcW w:w="2309" w:type="dxa"/>
            <w:tcMar>
              <w:top w:w="0" w:type="dxa"/>
              <w:left w:w="108" w:type="dxa"/>
              <w:bottom w:w="0" w:type="dxa"/>
              <w:right w:w="108" w:type="dxa"/>
            </w:tcMar>
            <w:vAlign w:val="center"/>
          </w:tcPr>
          <w:p w14:paraId="03A82EA8">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p>
        </w:tc>
      </w:tr>
      <w:tr w14:paraId="6736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76" w:type="dxa"/>
            <w:tcMar>
              <w:top w:w="0" w:type="dxa"/>
              <w:left w:w="108" w:type="dxa"/>
              <w:bottom w:w="0" w:type="dxa"/>
              <w:right w:w="108" w:type="dxa"/>
            </w:tcMar>
            <w:vAlign w:val="center"/>
          </w:tcPr>
          <w:p w14:paraId="64B0C583">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2.8</w:t>
            </w:r>
          </w:p>
        </w:tc>
        <w:tc>
          <w:tcPr>
            <w:tcW w:w="4302" w:type="dxa"/>
            <w:tcMar>
              <w:top w:w="0" w:type="dxa"/>
              <w:left w:w="108" w:type="dxa"/>
              <w:bottom w:w="0" w:type="dxa"/>
              <w:right w:w="108" w:type="dxa"/>
            </w:tcMar>
            <w:vAlign w:val="center"/>
          </w:tcPr>
          <w:p w14:paraId="253C95AE">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信息管理：根据每个监理阶段形成的信息内容和文档方案的构成和归档制度有明确详细描述的，得5分；有比较明确的描述的，得4分；描述不够明确，得3分；不提供不得分。</w:t>
            </w:r>
          </w:p>
        </w:tc>
        <w:tc>
          <w:tcPr>
            <w:tcW w:w="735" w:type="dxa"/>
            <w:tcMar>
              <w:top w:w="0" w:type="dxa"/>
              <w:left w:w="108" w:type="dxa"/>
              <w:bottom w:w="0" w:type="dxa"/>
              <w:right w:w="108" w:type="dxa"/>
            </w:tcMar>
            <w:vAlign w:val="center"/>
          </w:tcPr>
          <w:p w14:paraId="5D3A1AB4">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w:t>
            </w:r>
          </w:p>
        </w:tc>
        <w:tc>
          <w:tcPr>
            <w:tcW w:w="2309" w:type="dxa"/>
            <w:tcMar>
              <w:top w:w="0" w:type="dxa"/>
              <w:left w:w="108" w:type="dxa"/>
              <w:bottom w:w="0" w:type="dxa"/>
              <w:right w:w="108" w:type="dxa"/>
            </w:tcMar>
            <w:vAlign w:val="center"/>
          </w:tcPr>
          <w:p w14:paraId="625E5547">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p>
        </w:tc>
      </w:tr>
      <w:tr w14:paraId="684A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6" w:type="dxa"/>
            <w:tcMar>
              <w:top w:w="0" w:type="dxa"/>
              <w:left w:w="108" w:type="dxa"/>
              <w:bottom w:w="0" w:type="dxa"/>
              <w:right w:w="108" w:type="dxa"/>
            </w:tcMar>
            <w:vAlign w:val="center"/>
          </w:tcPr>
          <w:p w14:paraId="604BDD90">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2.9</w:t>
            </w:r>
          </w:p>
        </w:tc>
        <w:tc>
          <w:tcPr>
            <w:tcW w:w="4302" w:type="dxa"/>
            <w:tcMar>
              <w:top w:w="0" w:type="dxa"/>
              <w:left w:w="108" w:type="dxa"/>
              <w:bottom w:w="0" w:type="dxa"/>
              <w:right w:w="108" w:type="dxa"/>
            </w:tcMar>
            <w:vAlign w:val="center"/>
          </w:tcPr>
          <w:p w14:paraId="1B81B519">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沟通协调：根据沟通协调方法和制度，方法丰富制度完善，针对性强，协调计划严谨，协调方式简单易行，得4分；方法较多制度基本完善，得3分；方法单一制度不够完善，得2分；不提供不得分。</w:t>
            </w:r>
          </w:p>
        </w:tc>
        <w:tc>
          <w:tcPr>
            <w:tcW w:w="735" w:type="dxa"/>
            <w:tcMar>
              <w:top w:w="0" w:type="dxa"/>
              <w:left w:w="108" w:type="dxa"/>
              <w:bottom w:w="0" w:type="dxa"/>
              <w:right w:w="108" w:type="dxa"/>
            </w:tcMar>
            <w:vAlign w:val="center"/>
          </w:tcPr>
          <w:p w14:paraId="2DA2CB2A">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w:t>
            </w:r>
          </w:p>
        </w:tc>
        <w:tc>
          <w:tcPr>
            <w:tcW w:w="2309" w:type="dxa"/>
            <w:tcMar>
              <w:top w:w="0" w:type="dxa"/>
              <w:left w:w="108" w:type="dxa"/>
              <w:bottom w:w="0" w:type="dxa"/>
              <w:right w:w="108" w:type="dxa"/>
            </w:tcMar>
            <w:vAlign w:val="center"/>
          </w:tcPr>
          <w:p w14:paraId="6E03277F">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p>
        </w:tc>
      </w:tr>
      <w:tr w14:paraId="0FE7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8522" w:type="dxa"/>
            <w:gridSpan w:val="4"/>
            <w:tcMar>
              <w:top w:w="0" w:type="dxa"/>
              <w:left w:w="108" w:type="dxa"/>
              <w:bottom w:w="0" w:type="dxa"/>
              <w:right w:w="108" w:type="dxa"/>
            </w:tcMar>
            <w:vAlign w:val="center"/>
          </w:tcPr>
          <w:p w14:paraId="073740B6">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客观分</w:t>
            </w:r>
          </w:p>
        </w:tc>
      </w:tr>
      <w:tr w14:paraId="15BC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6" w:type="dxa"/>
            <w:tcMar>
              <w:top w:w="0" w:type="dxa"/>
              <w:left w:w="108" w:type="dxa"/>
              <w:bottom w:w="0" w:type="dxa"/>
              <w:right w:w="108" w:type="dxa"/>
            </w:tcMar>
            <w:vAlign w:val="center"/>
          </w:tcPr>
          <w:p w14:paraId="7617B497">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3.1</w:t>
            </w:r>
          </w:p>
        </w:tc>
        <w:tc>
          <w:tcPr>
            <w:tcW w:w="4302" w:type="dxa"/>
            <w:tcMar>
              <w:top w:w="0" w:type="dxa"/>
              <w:left w:w="108" w:type="dxa"/>
              <w:bottom w:w="0" w:type="dxa"/>
              <w:right w:w="108" w:type="dxa"/>
            </w:tcMar>
            <w:vAlign w:val="center"/>
          </w:tcPr>
          <w:p w14:paraId="0C874C46">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投标人具有质量管理体系认证证书ISO9001（认证范围包含：信息化工程监理服务）、信息技术服务管理体系认证证书ISO20000（认证范围包含：信息化工程监理服务）、信息安全管理体系认证证书ISO27001的（认证范围包含：信息化工程监理服务），每有一个得2分，最高6分。</w:t>
            </w:r>
          </w:p>
          <w:p w14:paraId="26DDC13B">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投标人具有环境管理体系认证证书ISO14001、职业健康管理体系认证证书ISO45001的，每有一个得1分，最高2分。</w:t>
            </w:r>
          </w:p>
        </w:tc>
        <w:tc>
          <w:tcPr>
            <w:tcW w:w="735" w:type="dxa"/>
            <w:tcMar>
              <w:top w:w="0" w:type="dxa"/>
              <w:left w:w="108" w:type="dxa"/>
              <w:bottom w:w="0" w:type="dxa"/>
              <w:right w:w="108" w:type="dxa"/>
            </w:tcMar>
            <w:vAlign w:val="center"/>
          </w:tcPr>
          <w:p w14:paraId="74725516">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8</w:t>
            </w:r>
          </w:p>
        </w:tc>
        <w:tc>
          <w:tcPr>
            <w:tcW w:w="2309" w:type="dxa"/>
            <w:tcMar>
              <w:top w:w="0" w:type="dxa"/>
              <w:left w:w="108" w:type="dxa"/>
              <w:bottom w:w="0" w:type="dxa"/>
              <w:right w:w="108" w:type="dxa"/>
            </w:tcMar>
            <w:vAlign w:val="center"/>
          </w:tcPr>
          <w:p w14:paraId="50D40E84">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提供证书复印件。否则不得分。</w:t>
            </w:r>
          </w:p>
        </w:tc>
      </w:tr>
      <w:tr w14:paraId="4272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6" w:type="dxa"/>
            <w:tcMar>
              <w:top w:w="0" w:type="dxa"/>
              <w:left w:w="108" w:type="dxa"/>
              <w:bottom w:w="0" w:type="dxa"/>
              <w:right w:w="108" w:type="dxa"/>
            </w:tcMar>
            <w:vAlign w:val="center"/>
          </w:tcPr>
          <w:p w14:paraId="0FCBF97B">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3.2</w:t>
            </w:r>
          </w:p>
        </w:tc>
        <w:tc>
          <w:tcPr>
            <w:tcW w:w="4302" w:type="dxa"/>
            <w:tcMar>
              <w:top w:w="0" w:type="dxa"/>
              <w:left w:w="108" w:type="dxa"/>
              <w:bottom w:w="0" w:type="dxa"/>
              <w:right w:w="108" w:type="dxa"/>
            </w:tcMar>
            <w:vAlign w:val="center"/>
          </w:tcPr>
          <w:p w14:paraId="44BA065A">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投标人2022年1月1日以来承担过信息化监理项目，每有一个得2分，最高8分。</w:t>
            </w:r>
          </w:p>
        </w:tc>
        <w:tc>
          <w:tcPr>
            <w:tcW w:w="735" w:type="dxa"/>
            <w:tcMar>
              <w:top w:w="0" w:type="dxa"/>
              <w:left w:w="108" w:type="dxa"/>
              <w:bottom w:w="0" w:type="dxa"/>
              <w:right w:w="108" w:type="dxa"/>
            </w:tcMar>
            <w:vAlign w:val="center"/>
          </w:tcPr>
          <w:p w14:paraId="3AC5409E">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8</w:t>
            </w:r>
          </w:p>
        </w:tc>
        <w:tc>
          <w:tcPr>
            <w:tcW w:w="2309" w:type="dxa"/>
            <w:tcMar>
              <w:top w:w="0" w:type="dxa"/>
              <w:left w:w="108" w:type="dxa"/>
              <w:bottom w:w="0" w:type="dxa"/>
              <w:right w:w="108" w:type="dxa"/>
            </w:tcMar>
            <w:vAlign w:val="center"/>
          </w:tcPr>
          <w:p w14:paraId="390FFCEF">
            <w:pPr>
              <w:widowControl/>
              <w:spacing w:before="100" w:beforeAutospacing="1" w:after="100" w:afterAutospacing="1"/>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提供合同复印件。否则不得分。</w:t>
            </w:r>
          </w:p>
        </w:tc>
      </w:tr>
      <w:tr w14:paraId="6100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6" w:type="dxa"/>
            <w:tcMar>
              <w:top w:w="0" w:type="dxa"/>
              <w:left w:w="108" w:type="dxa"/>
              <w:bottom w:w="0" w:type="dxa"/>
              <w:right w:w="108" w:type="dxa"/>
            </w:tcMar>
            <w:vAlign w:val="center"/>
          </w:tcPr>
          <w:p w14:paraId="6C70D95F">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3.3</w:t>
            </w:r>
          </w:p>
        </w:tc>
        <w:tc>
          <w:tcPr>
            <w:tcW w:w="4302" w:type="dxa"/>
            <w:tcMar>
              <w:top w:w="0" w:type="dxa"/>
              <w:left w:w="108" w:type="dxa"/>
              <w:bottom w:w="0" w:type="dxa"/>
              <w:right w:w="108" w:type="dxa"/>
            </w:tcMar>
            <w:vAlign w:val="center"/>
          </w:tcPr>
          <w:p w14:paraId="3271E01E">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本项目拟派总监理工程师具有：人社部门颁发</w:t>
            </w:r>
            <w:r>
              <w:rPr>
                <w:rFonts w:hint="eastAsia" w:ascii="宋体" w:hAnsi="宋体" w:eastAsia="宋体" w:cs="宋体"/>
                <w:b w:val="0"/>
                <w:bCs w:val="0"/>
                <w:color w:val="auto"/>
                <w:kern w:val="0"/>
                <w:sz w:val="21"/>
                <w:szCs w:val="21"/>
                <w:highlight w:val="none"/>
              </w:rPr>
              <w:t>的</w:t>
            </w:r>
            <w:r>
              <w:rPr>
                <w:rFonts w:hint="eastAsia" w:ascii="宋体" w:hAnsi="宋体" w:eastAsia="宋体" w:cs="宋体"/>
                <w:b w:val="0"/>
                <w:bCs w:val="0"/>
                <w:color w:val="auto"/>
                <w:kern w:val="0"/>
                <w:sz w:val="21"/>
                <w:szCs w:val="21"/>
                <w:highlight w:val="none"/>
              </w:rPr>
              <w:t>信息系统管理师</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rPr>
              <w:t>信息安全工程师</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软件设计师</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数据库系统工程师</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网络工程师及以上证书的，每有一个得2分，最高得8分。</w:t>
            </w:r>
          </w:p>
        </w:tc>
        <w:tc>
          <w:tcPr>
            <w:tcW w:w="735" w:type="dxa"/>
            <w:tcMar>
              <w:top w:w="0" w:type="dxa"/>
              <w:left w:w="108" w:type="dxa"/>
              <w:bottom w:w="0" w:type="dxa"/>
              <w:right w:w="108" w:type="dxa"/>
            </w:tcMar>
            <w:vAlign w:val="center"/>
          </w:tcPr>
          <w:p w14:paraId="0512EEC2">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8</w:t>
            </w:r>
          </w:p>
        </w:tc>
        <w:tc>
          <w:tcPr>
            <w:tcW w:w="2309" w:type="dxa"/>
            <w:tcMar>
              <w:top w:w="0" w:type="dxa"/>
              <w:left w:w="108" w:type="dxa"/>
              <w:bottom w:w="0" w:type="dxa"/>
              <w:right w:w="108" w:type="dxa"/>
            </w:tcMar>
            <w:vAlign w:val="center"/>
          </w:tcPr>
          <w:p w14:paraId="5C7CB04E">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必须提供证书、劳动合同及近三月</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从响应文件提交截止时间往前推算</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社保证明材料复印件。否则不得分。</w:t>
            </w:r>
          </w:p>
        </w:tc>
      </w:tr>
      <w:tr w14:paraId="1EE2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6" w:type="dxa"/>
            <w:tcMar>
              <w:top w:w="0" w:type="dxa"/>
              <w:left w:w="108" w:type="dxa"/>
              <w:bottom w:w="0" w:type="dxa"/>
              <w:right w:w="108" w:type="dxa"/>
            </w:tcMar>
            <w:vAlign w:val="center"/>
          </w:tcPr>
          <w:p w14:paraId="46949BEF">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3.4</w:t>
            </w:r>
          </w:p>
        </w:tc>
        <w:tc>
          <w:tcPr>
            <w:tcW w:w="4302" w:type="dxa"/>
            <w:tcMar>
              <w:top w:w="0" w:type="dxa"/>
              <w:left w:w="108" w:type="dxa"/>
              <w:bottom w:w="0" w:type="dxa"/>
              <w:right w:w="108" w:type="dxa"/>
            </w:tcMar>
            <w:vAlign w:val="center"/>
          </w:tcPr>
          <w:p w14:paraId="40214D24">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本项目拟派监理工程师具有：人社部门颁发的项目管理相关证书的，每有一类证书得2分，最高得6分。</w:t>
            </w:r>
          </w:p>
        </w:tc>
        <w:tc>
          <w:tcPr>
            <w:tcW w:w="735" w:type="dxa"/>
            <w:tcMar>
              <w:top w:w="0" w:type="dxa"/>
              <w:left w:w="108" w:type="dxa"/>
              <w:bottom w:w="0" w:type="dxa"/>
              <w:right w:w="108" w:type="dxa"/>
            </w:tcMar>
            <w:vAlign w:val="center"/>
          </w:tcPr>
          <w:p w14:paraId="77E4E23F">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w:t>
            </w:r>
          </w:p>
        </w:tc>
        <w:tc>
          <w:tcPr>
            <w:tcW w:w="2309" w:type="dxa"/>
            <w:tcMar>
              <w:top w:w="0" w:type="dxa"/>
              <w:left w:w="108" w:type="dxa"/>
              <w:bottom w:w="0" w:type="dxa"/>
              <w:right w:w="108" w:type="dxa"/>
            </w:tcMar>
            <w:vAlign w:val="center"/>
          </w:tcPr>
          <w:p w14:paraId="3149D5D5">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必须提供证书、劳动合同及近三月</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从响应文件提交截止时间往前推算</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社保证明材料复印件。否则不得分。</w:t>
            </w:r>
          </w:p>
        </w:tc>
      </w:tr>
      <w:tr w14:paraId="2D7E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76" w:type="dxa"/>
            <w:tcMar>
              <w:top w:w="0" w:type="dxa"/>
              <w:left w:w="108" w:type="dxa"/>
              <w:bottom w:w="0" w:type="dxa"/>
              <w:right w:w="108" w:type="dxa"/>
            </w:tcMar>
            <w:vAlign w:val="center"/>
          </w:tcPr>
          <w:p w14:paraId="661AAB82">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3.5</w:t>
            </w:r>
          </w:p>
        </w:tc>
        <w:tc>
          <w:tcPr>
            <w:tcW w:w="4302" w:type="dxa"/>
            <w:tcMar>
              <w:top w:w="0" w:type="dxa"/>
              <w:left w:w="108" w:type="dxa"/>
              <w:bottom w:w="0" w:type="dxa"/>
              <w:right w:w="108" w:type="dxa"/>
            </w:tcMar>
            <w:vAlign w:val="center"/>
          </w:tcPr>
          <w:p w14:paraId="3B6D7C04">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本项目拟派项目组人员增加1人（具有信息系统监理师证书）得2分，最高得2分。</w:t>
            </w:r>
          </w:p>
        </w:tc>
        <w:tc>
          <w:tcPr>
            <w:tcW w:w="735" w:type="dxa"/>
            <w:tcMar>
              <w:top w:w="0" w:type="dxa"/>
              <w:left w:w="108" w:type="dxa"/>
              <w:bottom w:w="0" w:type="dxa"/>
              <w:right w:w="108" w:type="dxa"/>
            </w:tcMar>
            <w:vAlign w:val="center"/>
          </w:tcPr>
          <w:p w14:paraId="5B69A172">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w:t>
            </w:r>
          </w:p>
        </w:tc>
        <w:tc>
          <w:tcPr>
            <w:tcW w:w="2309" w:type="dxa"/>
            <w:tcMar>
              <w:top w:w="0" w:type="dxa"/>
              <w:left w:w="108" w:type="dxa"/>
              <w:bottom w:w="0" w:type="dxa"/>
              <w:right w:w="108" w:type="dxa"/>
            </w:tcMar>
            <w:vAlign w:val="center"/>
          </w:tcPr>
          <w:p w14:paraId="7A1A2279">
            <w:pPr>
              <w:widowControl/>
              <w:spacing w:before="100" w:beforeAutospacing="1" w:after="100" w:afterAutospacing="1"/>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必须提供证书、劳动合同及近三月</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从响应文件提交截止时间往前推算</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社保证明材料复印件。否则不得分。</w:t>
            </w:r>
          </w:p>
        </w:tc>
      </w:tr>
    </w:tbl>
    <w:p w14:paraId="4FB2FCC8">
      <w:pPr>
        <w:tabs>
          <w:tab w:val="left" w:pos="5940"/>
        </w:tabs>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注： </w:t>
      </w:r>
    </w:p>
    <w:p w14:paraId="43601589">
      <w:pPr>
        <w:tabs>
          <w:tab w:val="left" w:pos="5940"/>
        </w:tabs>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1.评分细则中要求提供的证明文件及资料等在磋商响应文件中提供复印件并加盖鲜章，要求“原件或公证件核查”的必须将原件或公证件携带至开标现场核查，否则不得分。</w:t>
      </w:r>
    </w:p>
    <w:p w14:paraId="64C6D2E5">
      <w:pPr>
        <w:tabs>
          <w:tab w:val="left" w:pos="5940"/>
        </w:tabs>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2.评审时，未能按以上要求提供相应证明（复印件和原件、公证件）的，不作为评审依据，不得分。</w:t>
      </w:r>
    </w:p>
    <w:p w14:paraId="51068A87">
      <w:pPr>
        <w:pStyle w:val="56"/>
        <w:snapToGrid w:val="0"/>
        <w:spacing w:line="360" w:lineRule="exact"/>
        <w:ind w:firstLineChars="0"/>
        <w:rPr>
          <w:rFonts w:ascii="宋体" w:hAnsi="宋体" w:cs="宋体"/>
          <w:b/>
          <w:color w:val="auto"/>
          <w:sz w:val="21"/>
          <w:szCs w:val="21"/>
          <w:highlight w:val="none"/>
        </w:rPr>
      </w:pPr>
      <w:r>
        <w:rPr>
          <w:rFonts w:hint="eastAsia" w:ascii="宋体" w:hAnsi="宋体" w:cs="宋体"/>
          <w:bCs/>
          <w:color w:val="auto"/>
          <w:sz w:val="21"/>
          <w:szCs w:val="21"/>
          <w:highlight w:val="none"/>
        </w:rPr>
        <w:t>3.为便于评分，请供应商按评分表样式，逐条列出证明材料所在页码，格式自定。</w:t>
      </w:r>
    </w:p>
    <w:p w14:paraId="57FCE83C">
      <w:pPr>
        <w:jc w:val="center"/>
        <w:rPr>
          <w:rFonts w:ascii="宋体" w:hAnsi="宋体" w:cs="宋体"/>
          <w:b/>
          <w:color w:val="auto"/>
          <w:sz w:val="30"/>
          <w:szCs w:val="30"/>
          <w:highlight w:val="none"/>
        </w:rPr>
        <w:sectPr>
          <w:headerReference r:id="rId8" w:type="first"/>
          <w:headerReference r:id="rId7" w:type="even"/>
          <w:footerReference r:id="rId9" w:type="even"/>
          <w:pgSz w:w="11907" w:h="16839"/>
          <w:pgMar w:top="1440" w:right="1800" w:bottom="1440" w:left="1800" w:header="851" w:footer="992" w:gutter="0"/>
          <w:cols w:space="720" w:num="1"/>
          <w:docGrid w:type="lines" w:linePitch="312" w:charSpace="0"/>
        </w:sectPr>
      </w:pPr>
    </w:p>
    <w:p w14:paraId="2508C3DD">
      <w:pPr>
        <w:pStyle w:val="2"/>
        <w:rPr>
          <w:rFonts w:ascii="宋体" w:hAnsi="宋体" w:cs="宋体"/>
          <w:color w:val="auto"/>
          <w:highlight w:val="none"/>
        </w:rPr>
      </w:pPr>
      <w:r>
        <w:rPr>
          <w:rFonts w:hint="eastAsia" w:ascii="宋体" w:hAnsi="宋体" w:cs="宋体"/>
          <w:color w:val="auto"/>
          <w:highlight w:val="none"/>
        </w:rPr>
        <w:t>第五章  磋商响应文件的组成</w:t>
      </w:r>
      <w:bookmarkEnd w:id="13"/>
    </w:p>
    <w:p w14:paraId="64E60A8C">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一、资格审查材料</w:t>
      </w:r>
    </w:p>
    <w:p w14:paraId="25EF5343">
      <w:pPr>
        <w:adjustRightInd w:val="0"/>
        <w:snapToGrid w:val="0"/>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1.供应商资格声明函</w:t>
      </w:r>
    </w:p>
    <w:p w14:paraId="156EF2A8">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2.磋商响应函</w:t>
      </w:r>
    </w:p>
    <w:p w14:paraId="4CCDC5FC">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3.法人或者其他组织的营业执照等证明文件</w:t>
      </w:r>
    </w:p>
    <w:p w14:paraId="7BFC61E2">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4.法定代表人资格证明书、法定代表人身份证复印件（双面）</w:t>
      </w:r>
    </w:p>
    <w:p w14:paraId="50417B6F">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cs="宋体"/>
          <w:bCs/>
          <w:color w:val="auto"/>
          <w:kern w:val="0"/>
          <w:szCs w:val="21"/>
          <w:highlight w:val="none"/>
        </w:rPr>
        <w:t>★</w:t>
      </w:r>
      <w:r>
        <w:rPr>
          <w:rFonts w:hint="eastAsia" w:cs="宋体" w:asciiTheme="minorEastAsia" w:hAnsiTheme="minorEastAsia" w:eastAsiaTheme="minorEastAsia"/>
          <w:color w:val="auto"/>
          <w:szCs w:val="21"/>
          <w:highlight w:val="none"/>
        </w:rPr>
        <w:t>5.授权委托书、代理人身份证复印件（双面）、供应商近三个月内任意一个月（自磋商之日往前推）为其缴纳社保的记录（如有授权委托情况的，必须提供）</w:t>
      </w:r>
    </w:p>
    <w:p w14:paraId="40E7AB18">
      <w:pPr>
        <w:spacing w:line="360" w:lineRule="exact"/>
        <w:ind w:firstLine="422" w:firstLineChars="201"/>
        <w:rPr>
          <w:rFonts w:ascii="宋体" w:hAnsi="宋体" w:cs="宋体"/>
          <w:color w:val="auto"/>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w:t>
      </w:r>
      <w:r>
        <w:rPr>
          <w:rFonts w:hint="eastAsia" w:ascii="宋体" w:hAnsi="宋体" w:cs="宋体"/>
          <w:color w:val="auto"/>
          <w:szCs w:val="21"/>
          <w:highlight w:val="none"/>
        </w:rPr>
        <w:t>提供“信用中国”网站下列查询截图：</w:t>
      </w:r>
    </w:p>
    <w:p w14:paraId="0BAB12B9">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（1）信用记录行政处罚(www.creditchina.gov.cn)</w:t>
      </w:r>
    </w:p>
    <w:p w14:paraId="44BEE52A">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（2）失信被执行人（https://zxgk.court.gov.cn/shixin/）</w:t>
      </w:r>
    </w:p>
    <w:p w14:paraId="106A72C2">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（3）重大税收违法案件当事人名单</w:t>
      </w:r>
    </w:p>
    <w:p w14:paraId="05FD1BDC">
      <w:pPr>
        <w:spacing w:line="360" w:lineRule="exact"/>
        <w:rPr>
          <w:rFonts w:ascii="宋体" w:hAnsi="宋体" w:cs="宋体"/>
          <w:color w:val="auto"/>
          <w:szCs w:val="21"/>
          <w:highlight w:val="none"/>
        </w:rPr>
      </w:pPr>
      <w:r>
        <w:rPr>
          <w:rFonts w:hint="eastAsia" w:ascii="宋体" w:hAnsi="宋体" w:cs="宋体"/>
          <w:color w:val="auto"/>
          <w:szCs w:val="21"/>
          <w:highlight w:val="none"/>
        </w:rPr>
        <w:t>（https://www.creditchina.gov.cn/zhuanxiangchaxun/zhongdashuishouweifaanjian/）</w:t>
      </w:r>
    </w:p>
    <w:p w14:paraId="3D566255">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（4）严重失信行为记录名单</w:t>
      </w:r>
    </w:p>
    <w:p w14:paraId="73DF5A64">
      <w:pPr>
        <w:spacing w:line="360" w:lineRule="exact"/>
        <w:rPr>
          <w:rFonts w:ascii="宋体" w:hAnsi="宋体" w:cs="宋体"/>
          <w:color w:val="auto"/>
          <w:szCs w:val="21"/>
          <w:highlight w:val="none"/>
        </w:rPr>
      </w:pPr>
      <w:r>
        <w:rPr>
          <w:rFonts w:hint="eastAsia" w:ascii="宋体" w:hAnsi="宋体" w:cs="宋体"/>
          <w:color w:val="auto"/>
          <w:szCs w:val="21"/>
          <w:highlight w:val="none"/>
        </w:rPr>
        <w:t>（https://www.creditchina.gov.cn/xinxigongshi/shixinheimingdan/）</w:t>
      </w:r>
    </w:p>
    <w:p w14:paraId="7354EE40">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二、价格及有关商务部分材料</w:t>
      </w:r>
    </w:p>
    <w:p w14:paraId="6AB220FA">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hAnsi="Times New Roman" w:eastAsia="宋体" w:cs="宋体"/>
          <w:b w:val="0"/>
          <w:bCs/>
          <w:color w:val="auto"/>
          <w:kern w:val="0"/>
          <w:sz w:val="21"/>
          <w:szCs w:val="21"/>
          <w:highlight w:val="none"/>
          <w:lang w:val="en-US" w:eastAsia="zh-CN" w:bidi="ar-SA"/>
        </w:rPr>
        <w:t>★</w:t>
      </w:r>
      <w:r>
        <w:rPr>
          <w:rFonts w:hint="eastAsia" w:cs="宋体" w:asciiTheme="minorEastAsia" w:hAnsiTheme="minorEastAsia" w:eastAsiaTheme="minorEastAsia"/>
          <w:color w:val="auto"/>
          <w:szCs w:val="21"/>
          <w:highlight w:val="none"/>
        </w:rPr>
        <w:t>1.报价一览表</w:t>
      </w:r>
    </w:p>
    <w:p w14:paraId="32C66EDA">
      <w:pPr>
        <w:pStyle w:val="2"/>
        <w:ind w:firstLine="422" w:firstLineChars="20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三、技术部分材料</w:t>
      </w:r>
    </w:p>
    <w:p w14:paraId="24737A90">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1.供应商简介</w:t>
      </w:r>
    </w:p>
    <w:p w14:paraId="19FBE3F8">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2.服务方案，包括人员配置、</w:t>
      </w:r>
      <w:r>
        <w:rPr>
          <w:rFonts w:hint="eastAsia" w:cs="宋体" w:asciiTheme="minorEastAsia" w:hAnsiTheme="minorEastAsia" w:eastAsiaTheme="minorEastAsia"/>
          <w:color w:val="auto"/>
          <w:szCs w:val="21"/>
          <w:highlight w:val="none"/>
        </w:rPr>
        <w:t>服务详细实施方案</w:t>
      </w:r>
    </w:p>
    <w:p w14:paraId="16548B78">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hAnsi="Times New Roman" w:eastAsia="宋体" w:cs="宋体"/>
          <w:b w:val="0"/>
          <w:bCs/>
          <w:color w:val="auto"/>
          <w:kern w:val="0"/>
          <w:sz w:val="21"/>
          <w:szCs w:val="21"/>
          <w:highlight w:val="none"/>
          <w:lang w:val="en-US" w:eastAsia="zh-CN" w:bidi="ar-SA"/>
        </w:rPr>
        <w:t>★</w:t>
      </w:r>
      <w:r>
        <w:rPr>
          <w:rFonts w:hint="eastAsia" w:cs="宋体" w:asciiTheme="minorEastAsia" w:hAnsiTheme="minorEastAsia" w:eastAsiaTheme="minorEastAsia"/>
          <w:color w:val="auto"/>
          <w:szCs w:val="21"/>
          <w:highlight w:val="none"/>
        </w:rPr>
        <w:t>3.服务承诺</w:t>
      </w:r>
    </w:p>
    <w:p w14:paraId="24F12703">
      <w:pPr>
        <w:spacing w:line="360" w:lineRule="exact"/>
        <w:ind w:firstLine="420" w:firstLineChars="200"/>
        <w:rPr>
          <w:rFonts w:cs="宋体" w:asciiTheme="minorEastAsia" w:hAnsiTheme="minorEastAsia" w:eastAsiaTheme="minorEastAsia"/>
          <w:color w:val="auto"/>
          <w:szCs w:val="21"/>
          <w:highlight w:val="none"/>
        </w:rPr>
      </w:pPr>
      <w:r>
        <w:rPr>
          <w:rFonts w:hint="eastAsia" w:ascii="宋体" w:hAnsi="Times New Roman" w:eastAsia="宋体" w:cs="宋体"/>
          <w:b w:val="0"/>
          <w:bCs/>
          <w:color w:val="auto"/>
          <w:kern w:val="0"/>
          <w:sz w:val="21"/>
          <w:szCs w:val="21"/>
          <w:highlight w:val="none"/>
          <w:lang w:val="en-US" w:eastAsia="zh-CN" w:bidi="ar-SA"/>
        </w:rPr>
        <w:t>★</w:t>
      </w:r>
      <w:r>
        <w:rPr>
          <w:rFonts w:hint="eastAsia" w:cs="宋体" w:asciiTheme="minorEastAsia" w:hAnsiTheme="minorEastAsia" w:eastAsiaTheme="minorEastAsia"/>
          <w:color w:val="auto"/>
          <w:szCs w:val="21"/>
          <w:highlight w:val="none"/>
        </w:rPr>
        <w:t>4.偏离表</w:t>
      </w:r>
    </w:p>
    <w:p w14:paraId="637F0012">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5.其他评审相关资料</w:t>
      </w:r>
    </w:p>
    <w:p w14:paraId="35F7AF93">
      <w:pPr>
        <w:spacing w:line="360" w:lineRule="exact"/>
        <w:ind w:firstLine="424" w:firstLineChars="201"/>
        <w:rPr>
          <w:rFonts w:ascii="宋体" w:hAnsi="宋体" w:cs="宋体"/>
          <w:b/>
          <w:bCs/>
          <w:color w:val="auto"/>
          <w:szCs w:val="21"/>
          <w:highlight w:val="none"/>
        </w:rPr>
      </w:pPr>
      <w:r>
        <w:rPr>
          <w:rFonts w:hint="eastAsia" w:ascii="宋体" w:hAnsi="宋体" w:cs="宋体"/>
          <w:b/>
          <w:bCs/>
          <w:color w:val="auto"/>
          <w:szCs w:val="21"/>
          <w:highlight w:val="none"/>
        </w:rPr>
        <w:t>四、说明</w:t>
      </w:r>
    </w:p>
    <w:p w14:paraId="47F4C4B3">
      <w:pPr>
        <w:spacing w:line="360" w:lineRule="exact"/>
        <w:ind w:firstLine="422" w:firstLineChars="201"/>
        <w:rPr>
          <w:rFonts w:ascii="宋体" w:hAnsi="宋体" w:cs="宋体"/>
          <w:b/>
          <w:bCs/>
          <w:color w:val="auto"/>
          <w:szCs w:val="21"/>
          <w:highlight w:val="none"/>
        </w:rPr>
      </w:pPr>
      <w:r>
        <w:rPr>
          <w:rFonts w:hint="eastAsia" w:ascii="宋体" w:hAnsi="宋体" w:cs="宋体"/>
          <w:color w:val="auto"/>
          <w:szCs w:val="21"/>
          <w:highlight w:val="none"/>
        </w:rPr>
        <w:t>1.上述带“</w:t>
      </w:r>
      <w:r>
        <w:rPr>
          <w:rFonts w:hint="eastAsia" w:ascii="宋体" w:hAnsi="Times New Roman" w:eastAsia="宋体" w:cs="宋体"/>
          <w:b w:val="0"/>
          <w:bCs/>
          <w:color w:val="auto"/>
          <w:kern w:val="0"/>
          <w:sz w:val="21"/>
          <w:szCs w:val="21"/>
          <w:highlight w:val="none"/>
          <w:lang w:val="en-US" w:eastAsia="zh-CN" w:bidi="ar-SA"/>
        </w:rPr>
        <w:t>★</w:t>
      </w:r>
      <w:r>
        <w:rPr>
          <w:rFonts w:hint="eastAsia" w:ascii="宋体" w:hAnsi="宋体" w:cs="宋体"/>
          <w:color w:val="auto"/>
          <w:szCs w:val="21"/>
          <w:highlight w:val="none"/>
        </w:rPr>
        <w:t>”条款供应商应在磋商响应文件中提供并加盖供应商公章，否则将作为无效响应处理。</w:t>
      </w:r>
      <w:r>
        <w:rPr>
          <w:rFonts w:hint="eastAsia" w:ascii="宋体" w:hAnsi="宋体" w:cs="宋体"/>
          <w:b/>
          <w:bCs/>
          <w:color w:val="auto"/>
          <w:szCs w:val="21"/>
          <w:highlight w:val="none"/>
        </w:rPr>
        <w:t>未加盖公章的视为未提供该项材料。所有项目若有缺失或无效将可能导致磋商无效且不允许在磋商响应文件提交截止后补正。</w:t>
      </w:r>
    </w:p>
    <w:p w14:paraId="5E132D93">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2.对本章所有的格式，供应商可根据自身情况进行补充和修改，但补充和修改不得造成与本格式内容有实质性的违背。供应商可提供其它相关的证明材料（不限于此）。</w:t>
      </w:r>
    </w:p>
    <w:p w14:paraId="707C2F86">
      <w:pPr>
        <w:spacing w:line="360" w:lineRule="exact"/>
        <w:ind w:firstLine="422" w:firstLineChars="201"/>
        <w:rPr>
          <w:rFonts w:ascii="宋体" w:hAnsi="宋体" w:cs="宋体"/>
          <w:b/>
          <w:color w:val="auto"/>
          <w:szCs w:val="21"/>
          <w:highlight w:val="none"/>
        </w:rPr>
      </w:pPr>
      <w:r>
        <w:rPr>
          <w:rFonts w:hint="eastAsia" w:ascii="宋体" w:hAnsi="宋体" w:cs="宋体"/>
          <w:color w:val="auto"/>
          <w:szCs w:val="21"/>
          <w:highlight w:val="none"/>
        </w:rPr>
        <w:t>3.供应商需按磋商响应文件的组成要求进行编制。</w:t>
      </w:r>
    </w:p>
    <w:p w14:paraId="513A5CAA">
      <w:pPr>
        <w:jc w:val="center"/>
        <w:rPr>
          <w:rFonts w:ascii="宋体" w:hAnsi="宋体" w:cs="宋体"/>
          <w:b/>
          <w:color w:val="auto"/>
          <w:sz w:val="30"/>
          <w:szCs w:val="30"/>
          <w:highlight w:val="none"/>
        </w:rPr>
      </w:pPr>
    </w:p>
    <w:p w14:paraId="1B3EF8E0">
      <w:pPr>
        <w:rPr>
          <w:rFonts w:hint="eastAsia" w:ascii="宋体" w:hAnsi="宋体" w:cs="宋体"/>
          <w:color w:val="auto"/>
          <w:highlight w:val="none"/>
        </w:rPr>
      </w:pPr>
      <w:bookmarkStart w:id="14" w:name="_Toc17537932"/>
      <w:r>
        <w:rPr>
          <w:rFonts w:hint="eastAsia" w:ascii="宋体" w:hAnsi="宋体" w:cs="宋体"/>
          <w:color w:val="auto"/>
          <w:highlight w:val="none"/>
        </w:rPr>
        <w:br w:type="page"/>
      </w:r>
    </w:p>
    <w:p w14:paraId="125802FB">
      <w:pPr>
        <w:pStyle w:val="2"/>
        <w:rPr>
          <w:rFonts w:ascii="宋体" w:hAnsi="宋体" w:cs="宋体"/>
          <w:color w:val="auto"/>
          <w:highlight w:val="none"/>
        </w:rPr>
      </w:pPr>
      <w:r>
        <w:rPr>
          <w:rFonts w:hint="eastAsia" w:ascii="宋体" w:hAnsi="宋体" w:cs="宋体"/>
          <w:color w:val="auto"/>
          <w:highlight w:val="none"/>
        </w:rPr>
        <w:t>第六章  附    件</w:t>
      </w:r>
      <w:bookmarkEnd w:id="14"/>
    </w:p>
    <w:p w14:paraId="4C0A763C">
      <w:pPr>
        <w:pStyle w:val="2"/>
        <w:jc w:val="left"/>
        <w:rPr>
          <w:rFonts w:asciiTheme="minorEastAsia" w:hAnsiTheme="minorEastAsia" w:eastAsiaTheme="minorEastAsia"/>
          <w:b w:val="0"/>
          <w:color w:val="auto"/>
          <w:sz w:val="28"/>
          <w:szCs w:val="28"/>
          <w:highlight w:val="none"/>
        </w:rPr>
      </w:pPr>
      <w:r>
        <w:rPr>
          <w:rFonts w:cs="宋体" w:asciiTheme="minorEastAsia" w:hAnsiTheme="minorEastAsia" w:eastAsiaTheme="minorEastAsia"/>
          <w:color w:val="auto"/>
          <w:sz w:val="28"/>
          <w:szCs w:val="28"/>
          <w:highlight w:val="none"/>
        </w:rPr>
        <w:t>1</w:t>
      </w:r>
      <w:r>
        <w:rPr>
          <w:rFonts w:hint="eastAsia" w:cs="宋体"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供应商资格声明函</w:t>
      </w:r>
    </w:p>
    <w:p w14:paraId="3DFF2CD1">
      <w:pPr>
        <w:pStyle w:val="5"/>
        <w:spacing w:line="460" w:lineRule="exact"/>
        <w:ind w:firstLine="0"/>
        <w:jc w:val="center"/>
        <w:rPr>
          <w:color w:val="auto"/>
          <w:szCs w:val="24"/>
          <w:highlight w:val="none"/>
        </w:rPr>
      </w:pPr>
      <w:r>
        <w:rPr>
          <w:rFonts w:hint="eastAsia"/>
          <w:b/>
          <w:color w:val="auto"/>
          <w:sz w:val="28"/>
          <w:szCs w:val="28"/>
          <w:highlight w:val="none"/>
        </w:rPr>
        <w:t>供应商资格声明函</w:t>
      </w:r>
    </w:p>
    <w:p w14:paraId="2C444D9F">
      <w:pPr>
        <w:pStyle w:val="5"/>
        <w:spacing w:line="360" w:lineRule="exact"/>
        <w:ind w:firstLine="0"/>
        <w:rPr>
          <w:color w:val="auto"/>
          <w:sz w:val="21"/>
          <w:szCs w:val="21"/>
          <w:highlight w:val="none"/>
        </w:rPr>
      </w:pPr>
    </w:p>
    <w:p w14:paraId="0B23F207">
      <w:pPr>
        <w:pStyle w:val="5"/>
        <w:spacing w:line="360" w:lineRule="exact"/>
        <w:ind w:firstLine="0"/>
        <w:rPr>
          <w:color w:val="auto"/>
          <w:sz w:val="21"/>
          <w:szCs w:val="21"/>
          <w:highlight w:val="none"/>
        </w:rPr>
      </w:pPr>
      <w:r>
        <w:rPr>
          <w:rFonts w:hint="eastAsia"/>
          <w:color w:val="auto"/>
          <w:sz w:val="21"/>
          <w:szCs w:val="21"/>
          <w:highlight w:val="none"/>
        </w:rPr>
        <w:t>常州市公安局、常州市城投建设工程招标有限公司：</w:t>
      </w:r>
    </w:p>
    <w:p w14:paraId="2B5B590D">
      <w:pPr>
        <w:pStyle w:val="5"/>
        <w:spacing w:line="360" w:lineRule="exact"/>
        <w:ind w:firstLine="480"/>
        <w:rPr>
          <w:color w:val="auto"/>
          <w:sz w:val="21"/>
          <w:szCs w:val="21"/>
          <w:highlight w:val="none"/>
        </w:rPr>
      </w:pPr>
      <w:r>
        <w:rPr>
          <w:rFonts w:hint="eastAsia"/>
          <w:color w:val="auto"/>
          <w:sz w:val="21"/>
          <w:szCs w:val="21"/>
          <w:highlight w:val="none"/>
        </w:rPr>
        <w:t>按照竞争性磋商文件要求的“申请人的资格要求”，我单位郑重声明如下：</w:t>
      </w:r>
    </w:p>
    <w:p w14:paraId="1DE5CA1F">
      <w:pPr>
        <w:pStyle w:val="5"/>
        <w:spacing w:line="360" w:lineRule="exact"/>
        <w:ind w:firstLine="480"/>
        <w:rPr>
          <w:color w:val="auto"/>
          <w:sz w:val="21"/>
          <w:szCs w:val="21"/>
          <w:highlight w:val="none"/>
        </w:rPr>
      </w:pPr>
      <w:r>
        <w:rPr>
          <w:rFonts w:hint="eastAsia"/>
          <w:color w:val="auto"/>
          <w:sz w:val="21"/>
          <w:szCs w:val="21"/>
          <w:highlight w:val="none"/>
        </w:rPr>
        <w:t>一、我单位是按照中华人民共和国法律规定登记注册的，注册地点为</w:t>
      </w:r>
      <w:r>
        <w:rPr>
          <w:color w:val="auto"/>
          <w:sz w:val="21"/>
          <w:szCs w:val="21"/>
          <w:highlight w:val="none"/>
          <w:u w:val="single"/>
        </w:rPr>
        <w:t xml:space="preserve">         </w:t>
      </w:r>
      <w:r>
        <w:rPr>
          <w:rFonts w:hint="eastAsia"/>
          <w:color w:val="auto"/>
          <w:sz w:val="21"/>
          <w:szCs w:val="21"/>
          <w:highlight w:val="none"/>
        </w:rPr>
        <w:t>，全称为</w:t>
      </w:r>
      <w:r>
        <w:rPr>
          <w:color w:val="auto"/>
          <w:sz w:val="21"/>
          <w:szCs w:val="21"/>
          <w:highlight w:val="none"/>
          <w:u w:val="single"/>
        </w:rPr>
        <w:t xml:space="preserve">        </w:t>
      </w:r>
      <w:r>
        <w:rPr>
          <w:rFonts w:hint="eastAsia"/>
          <w:color w:val="auto"/>
          <w:sz w:val="21"/>
          <w:szCs w:val="21"/>
          <w:highlight w:val="none"/>
        </w:rPr>
        <w:t>，统一社会信用代码为</w:t>
      </w:r>
      <w:r>
        <w:rPr>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rPr>
        <w:t>，法定代表人（单位负责人）为</w:t>
      </w:r>
      <w:r>
        <w:rPr>
          <w:color w:val="auto"/>
          <w:sz w:val="21"/>
          <w:szCs w:val="21"/>
          <w:highlight w:val="none"/>
          <w:u w:val="single"/>
        </w:rPr>
        <w:t xml:space="preserve">         </w:t>
      </w:r>
      <w:r>
        <w:rPr>
          <w:rFonts w:hint="eastAsia"/>
          <w:color w:val="auto"/>
          <w:sz w:val="21"/>
          <w:szCs w:val="21"/>
          <w:highlight w:val="none"/>
        </w:rPr>
        <w:t>，具有独立承担民事责任的能力</w:t>
      </w:r>
      <w:r>
        <w:rPr>
          <w:rFonts w:hint="eastAsia"/>
          <w:b/>
          <w:color w:val="auto"/>
          <w:sz w:val="21"/>
          <w:szCs w:val="21"/>
          <w:highlight w:val="none"/>
        </w:rPr>
        <w:t>（如属于分公司经总公司授权参与项目，由总公司承担民事责任的，需提供总公司项目授权书）</w:t>
      </w:r>
      <w:r>
        <w:rPr>
          <w:rFonts w:hint="eastAsia"/>
          <w:color w:val="auto"/>
          <w:sz w:val="21"/>
          <w:szCs w:val="21"/>
          <w:highlight w:val="none"/>
        </w:rPr>
        <w:t>。</w:t>
      </w:r>
    </w:p>
    <w:p w14:paraId="33759A85">
      <w:pPr>
        <w:pStyle w:val="5"/>
        <w:spacing w:line="360" w:lineRule="exact"/>
        <w:ind w:firstLine="480"/>
        <w:rPr>
          <w:color w:val="auto"/>
          <w:sz w:val="21"/>
          <w:szCs w:val="21"/>
          <w:highlight w:val="none"/>
        </w:rPr>
      </w:pPr>
      <w:r>
        <w:rPr>
          <w:rFonts w:hint="eastAsia"/>
          <w:color w:val="auto"/>
          <w:sz w:val="21"/>
          <w:szCs w:val="21"/>
          <w:highlight w:val="none"/>
        </w:rPr>
        <w:t>二、我单位未被“国家企业信用信息系统”列入经营异常名录或者严重违法企业名单。</w:t>
      </w:r>
    </w:p>
    <w:p w14:paraId="4ED243B9">
      <w:pPr>
        <w:pStyle w:val="5"/>
        <w:spacing w:line="360" w:lineRule="exact"/>
        <w:ind w:firstLine="480"/>
        <w:rPr>
          <w:color w:val="auto"/>
          <w:sz w:val="21"/>
          <w:szCs w:val="21"/>
          <w:highlight w:val="none"/>
        </w:rPr>
      </w:pPr>
      <w:r>
        <w:rPr>
          <w:rFonts w:hint="eastAsia"/>
          <w:color w:val="auto"/>
          <w:sz w:val="21"/>
          <w:szCs w:val="21"/>
          <w:highlight w:val="none"/>
        </w:rPr>
        <w:t>三、我单位具有良好的商业信誉（指供应商经营状况良好，无本资格声明第十条情形）和健全的财务会计制度。</w:t>
      </w:r>
    </w:p>
    <w:p w14:paraId="6B62A73D">
      <w:pPr>
        <w:pStyle w:val="5"/>
        <w:spacing w:line="360" w:lineRule="exact"/>
        <w:ind w:firstLine="480"/>
        <w:rPr>
          <w:color w:val="auto"/>
          <w:sz w:val="21"/>
          <w:szCs w:val="21"/>
          <w:highlight w:val="none"/>
        </w:rPr>
      </w:pPr>
      <w:r>
        <w:rPr>
          <w:rFonts w:hint="eastAsia"/>
          <w:color w:val="auto"/>
          <w:sz w:val="21"/>
          <w:szCs w:val="21"/>
          <w:highlight w:val="none"/>
        </w:rPr>
        <w:t>四、我单位依法进行纳税和社会保险申报并实际履行了义务。</w:t>
      </w:r>
    </w:p>
    <w:p w14:paraId="79B128A0">
      <w:pPr>
        <w:pStyle w:val="5"/>
        <w:spacing w:line="360" w:lineRule="exact"/>
        <w:ind w:firstLine="480"/>
        <w:rPr>
          <w:color w:val="auto"/>
          <w:sz w:val="21"/>
          <w:szCs w:val="21"/>
          <w:highlight w:val="none"/>
        </w:rPr>
      </w:pPr>
      <w:r>
        <w:rPr>
          <w:rFonts w:hint="eastAsia"/>
          <w:color w:val="auto"/>
          <w:sz w:val="21"/>
          <w:szCs w:val="21"/>
          <w:highlight w:val="none"/>
        </w:rPr>
        <w:t>五、我单位具有履行本项目采购合同所必需的设备和专业技术能力，并具有履行合同的良好记录。为履行本项采购合同我单位具备如下主要设备和主要专业技术能力</w:t>
      </w:r>
      <w:r>
        <w:rPr>
          <w:color w:val="auto"/>
          <w:sz w:val="21"/>
          <w:szCs w:val="21"/>
          <w:highlight w:val="none"/>
        </w:rPr>
        <w:t>:</w:t>
      </w:r>
    </w:p>
    <w:p w14:paraId="569D22C9">
      <w:pPr>
        <w:pStyle w:val="5"/>
        <w:spacing w:line="360" w:lineRule="exact"/>
        <w:ind w:firstLine="480"/>
        <w:rPr>
          <w:color w:val="auto"/>
          <w:sz w:val="21"/>
          <w:szCs w:val="21"/>
          <w:highlight w:val="none"/>
        </w:rPr>
      </w:pPr>
      <w:r>
        <w:rPr>
          <w:rFonts w:hint="eastAsia"/>
          <w:color w:val="auto"/>
          <w:sz w:val="21"/>
          <w:szCs w:val="21"/>
          <w:highlight w:val="none"/>
        </w:rPr>
        <w:t>主要设备有：</w:t>
      </w:r>
      <w:r>
        <w:rPr>
          <w:color w:val="auto"/>
          <w:sz w:val="21"/>
          <w:szCs w:val="21"/>
          <w:highlight w:val="none"/>
          <w:u w:val="single"/>
        </w:rPr>
        <w:t xml:space="preserve">            </w:t>
      </w:r>
    </w:p>
    <w:p w14:paraId="44DF591F">
      <w:pPr>
        <w:pStyle w:val="5"/>
        <w:spacing w:line="360" w:lineRule="exact"/>
        <w:ind w:firstLine="480"/>
        <w:rPr>
          <w:color w:val="auto"/>
          <w:sz w:val="21"/>
          <w:szCs w:val="21"/>
          <w:highlight w:val="none"/>
        </w:rPr>
      </w:pPr>
      <w:r>
        <w:rPr>
          <w:rFonts w:hint="eastAsia"/>
          <w:color w:val="auto"/>
          <w:sz w:val="21"/>
          <w:szCs w:val="21"/>
          <w:highlight w:val="none"/>
        </w:rPr>
        <w:t>主要专业技术能力有</w:t>
      </w:r>
      <w:r>
        <w:rPr>
          <w:color w:val="auto"/>
          <w:sz w:val="21"/>
          <w:szCs w:val="21"/>
          <w:highlight w:val="none"/>
          <w:u w:val="single"/>
        </w:rPr>
        <w:t xml:space="preserve">                 </w:t>
      </w:r>
    </w:p>
    <w:p w14:paraId="1B2555F0">
      <w:pPr>
        <w:pStyle w:val="5"/>
        <w:spacing w:line="360" w:lineRule="exact"/>
        <w:ind w:firstLine="480"/>
        <w:rPr>
          <w:color w:val="auto"/>
          <w:sz w:val="21"/>
          <w:szCs w:val="21"/>
          <w:highlight w:val="none"/>
        </w:rPr>
      </w:pPr>
      <w:r>
        <w:rPr>
          <w:rFonts w:hint="eastAsia"/>
          <w:color w:val="auto"/>
          <w:sz w:val="21"/>
          <w:szCs w:val="21"/>
          <w:highlight w:val="none"/>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color w:val="auto"/>
          <w:sz w:val="21"/>
          <w:szCs w:val="21"/>
          <w:highlight w:val="none"/>
        </w:rPr>
        <w:t>3</w:t>
      </w:r>
      <w:r>
        <w:rPr>
          <w:rFonts w:hint="eastAsia"/>
          <w:color w:val="auto"/>
          <w:sz w:val="21"/>
          <w:szCs w:val="21"/>
          <w:highlight w:val="none"/>
        </w:rPr>
        <w:t>年内因违法经营被禁止在一定期限内参加采购活动，期限届满的，可以参加采购活动。）</w:t>
      </w:r>
    </w:p>
    <w:p w14:paraId="7414FBC1">
      <w:pPr>
        <w:pStyle w:val="5"/>
        <w:spacing w:line="360" w:lineRule="exact"/>
        <w:ind w:firstLine="480"/>
        <w:rPr>
          <w:color w:val="auto"/>
          <w:sz w:val="21"/>
          <w:szCs w:val="21"/>
          <w:highlight w:val="none"/>
        </w:rPr>
      </w:pPr>
      <w:r>
        <w:rPr>
          <w:rFonts w:hint="eastAsia"/>
          <w:color w:val="auto"/>
          <w:sz w:val="21"/>
          <w:szCs w:val="21"/>
          <w:highlight w:val="none"/>
        </w:rPr>
        <w:t>七、我单位具备法律、行政法规规定的其他条件。</w:t>
      </w:r>
    </w:p>
    <w:p w14:paraId="71DF51C4">
      <w:pPr>
        <w:pStyle w:val="5"/>
        <w:spacing w:line="360" w:lineRule="exact"/>
        <w:ind w:firstLine="480"/>
        <w:rPr>
          <w:color w:val="auto"/>
          <w:sz w:val="21"/>
          <w:szCs w:val="21"/>
          <w:highlight w:val="none"/>
        </w:rPr>
      </w:pPr>
      <w:r>
        <w:rPr>
          <w:rFonts w:hint="eastAsia"/>
          <w:color w:val="auto"/>
          <w:sz w:val="21"/>
          <w:szCs w:val="21"/>
          <w:highlight w:val="none"/>
        </w:rPr>
        <w:t>八、与我单位存在“单位负责人为同一人或者存在直接控股、管理关系”的其他单位信息如下（如无此情形的，填写“无”）：</w:t>
      </w:r>
    </w:p>
    <w:p w14:paraId="2CB7051D">
      <w:pPr>
        <w:pStyle w:val="5"/>
        <w:spacing w:line="360" w:lineRule="exact"/>
        <w:ind w:firstLine="480"/>
        <w:rPr>
          <w:color w:val="auto"/>
          <w:sz w:val="21"/>
          <w:szCs w:val="21"/>
          <w:highlight w:val="none"/>
        </w:rPr>
      </w:pPr>
      <w:r>
        <w:rPr>
          <w:color w:val="auto"/>
          <w:sz w:val="21"/>
          <w:szCs w:val="21"/>
          <w:highlight w:val="none"/>
        </w:rPr>
        <w:t>1</w:t>
      </w:r>
      <w:r>
        <w:rPr>
          <w:rFonts w:hint="eastAsia"/>
          <w:color w:val="auto"/>
          <w:sz w:val="21"/>
          <w:szCs w:val="21"/>
          <w:highlight w:val="none"/>
        </w:rPr>
        <w:t>.与我单位的法定代表人（单位负责人）为同一人的其他单位如下：</w:t>
      </w:r>
      <w:r>
        <w:rPr>
          <w:color w:val="auto"/>
          <w:sz w:val="21"/>
          <w:szCs w:val="21"/>
          <w:highlight w:val="none"/>
          <w:u w:val="single"/>
        </w:rPr>
        <w:t xml:space="preserve">     </w:t>
      </w:r>
      <w:r>
        <w:rPr>
          <w:color w:val="auto"/>
          <w:sz w:val="21"/>
          <w:szCs w:val="21"/>
          <w:highlight w:val="none"/>
        </w:rPr>
        <w:t xml:space="preserve">          </w:t>
      </w:r>
    </w:p>
    <w:p w14:paraId="459AAB13">
      <w:pPr>
        <w:pStyle w:val="5"/>
        <w:spacing w:line="360" w:lineRule="exact"/>
        <w:ind w:firstLine="480"/>
        <w:rPr>
          <w:color w:val="auto"/>
          <w:sz w:val="21"/>
          <w:szCs w:val="21"/>
          <w:highlight w:val="none"/>
        </w:rPr>
      </w:pPr>
      <w:r>
        <w:rPr>
          <w:color w:val="auto"/>
          <w:sz w:val="21"/>
          <w:szCs w:val="21"/>
          <w:highlight w:val="none"/>
        </w:rPr>
        <w:t>2</w:t>
      </w:r>
      <w:r>
        <w:rPr>
          <w:rFonts w:hint="eastAsia"/>
          <w:color w:val="auto"/>
          <w:sz w:val="21"/>
          <w:szCs w:val="21"/>
          <w:highlight w:val="none"/>
        </w:rPr>
        <w:t>.我单位直接控股的其他单位如下：</w:t>
      </w:r>
      <w:r>
        <w:rPr>
          <w:color w:val="auto"/>
          <w:sz w:val="21"/>
          <w:szCs w:val="21"/>
          <w:highlight w:val="none"/>
          <w:u w:val="single"/>
        </w:rPr>
        <w:t xml:space="preserve">                    </w:t>
      </w:r>
      <w:r>
        <w:rPr>
          <w:color w:val="auto"/>
          <w:sz w:val="21"/>
          <w:szCs w:val="21"/>
          <w:highlight w:val="none"/>
        </w:rPr>
        <w:t xml:space="preserve"> </w:t>
      </w:r>
    </w:p>
    <w:p w14:paraId="78454C2B">
      <w:pPr>
        <w:pStyle w:val="5"/>
        <w:spacing w:line="360" w:lineRule="exact"/>
        <w:ind w:firstLine="480"/>
        <w:rPr>
          <w:color w:val="auto"/>
          <w:sz w:val="21"/>
          <w:szCs w:val="21"/>
          <w:highlight w:val="none"/>
        </w:rPr>
      </w:pPr>
      <w:r>
        <w:rPr>
          <w:color w:val="auto"/>
          <w:sz w:val="21"/>
          <w:szCs w:val="21"/>
          <w:highlight w:val="none"/>
        </w:rPr>
        <w:t>3</w:t>
      </w:r>
      <w:r>
        <w:rPr>
          <w:rFonts w:hint="eastAsia"/>
          <w:color w:val="auto"/>
          <w:sz w:val="21"/>
          <w:szCs w:val="21"/>
          <w:highlight w:val="none"/>
        </w:rPr>
        <w:t>.与我单位存在管理关系的其他单位如下：</w:t>
      </w:r>
      <w:r>
        <w:rPr>
          <w:color w:val="auto"/>
          <w:sz w:val="21"/>
          <w:szCs w:val="21"/>
          <w:highlight w:val="none"/>
          <w:u w:val="single"/>
        </w:rPr>
        <w:t xml:space="preserve">              </w:t>
      </w:r>
      <w:r>
        <w:rPr>
          <w:color w:val="auto"/>
          <w:sz w:val="21"/>
          <w:szCs w:val="21"/>
          <w:highlight w:val="none"/>
        </w:rPr>
        <w:t xml:space="preserve"> </w:t>
      </w:r>
    </w:p>
    <w:p w14:paraId="4CA1FE8F">
      <w:pPr>
        <w:pStyle w:val="5"/>
        <w:spacing w:line="360" w:lineRule="exact"/>
        <w:ind w:firstLine="480"/>
        <w:rPr>
          <w:color w:val="auto"/>
          <w:sz w:val="21"/>
          <w:szCs w:val="21"/>
          <w:highlight w:val="none"/>
        </w:rPr>
      </w:pPr>
      <w:r>
        <w:rPr>
          <w:rFonts w:hint="eastAsia"/>
          <w:color w:val="auto"/>
          <w:sz w:val="21"/>
          <w:szCs w:val="21"/>
          <w:highlight w:val="none"/>
        </w:rPr>
        <w:t>九、我单位不属于为本项目提供整体设计、规范编制或者项目管理、监理、检测等服务的供应商。</w:t>
      </w:r>
    </w:p>
    <w:p w14:paraId="766CDF0C">
      <w:pPr>
        <w:pStyle w:val="5"/>
        <w:spacing w:line="360" w:lineRule="exact"/>
        <w:ind w:firstLine="480"/>
        <w:rPr>
          <w:color w:val="auto"/>
          <w:sz w:val="21"/>
          <w:szCs w:val="21"/>
          <w:highlight w:val="none"/>
        </w:rPr>
      </w:pPr>
      <w:r>
        <w:rPr>
          <w:rFonts w:hint="eastAsia"/>
          <w:color w:val="auto"/>
          <w:sz w:val="21"/>
          <w:szCs w:val="21"/>
          <w:highlight w:val="none"/>
        </w:rPr>
        <w:t>十、我单位无以下不良信用记录情形：</w:t>
      </w:r>
    </w:p>
    <w:p w14:paraId="27D8E25A">
      <w:pPr>
        <w:pStyle w:val="5"/>
        <w:spacing w:line="360" w:lineRule="exact"/>
        <w:ind w:firstLine="480"/>
        <w:rPr>
          <w:color w:val="auto"/>
          <w:sz w:val="21"/>
          <w:szCs w:val="21"/>
          <w:highlight w:val="none"/>
        </w:rPr>
      </w:pPr>
      <w:r>
        <w:rPr>
          <w:rFonts w:hint="eastAsia"/>
          <w:color w:val="auto"/>
          <w:sz w:val="21"/>
          <w:szCs w:val="21"/>
          <w:highlight w:val="none"/>
        </w:rPr>
        <w:t>在“信用中国”网站被列入失信被执行人和重大税收违法案件当事人名单。</w:t>
      </w:r>
    </w:p>
    <w:p w14:paraId="574C3921">
      <w:pPr>
        <w:pStyle w:val="5"/>
        <w:spacing w:line="360" w:lineRule="exact"/>
        <w:ind w:firstLine="480"/>
        <w:rPr>
          <w:color w:val="auto"/>
          <w:sz w:val="21"/>
          <w:szCs w:val="21"/>
          <w:highlight w:val="none"/>
        </w:rPr>
      </w:pPr>
    </w:p>
    <w:p w14:paraId="655B7416">
      <w:pPr>
        <w:pStyle w:val="5"/>
        <w:spacing w:line="360" w:lineRule="exact"/>
        <w:ind w:firstLine="480"/>
        <w:rPr>
          <w:color w:val="auto"/>
          <w:sz w:val="21"/>
          <w:szCs w:val="21"/>
          <w:highlight w:val="none"/>
        </w:rPr>
      </w:pPr>
      <w:r>
        <w:rPr>
          <w:rFonts w:hint="eastAsia"/>
          <w:color w:val="auto"/>
          <w:sz w:val="21"/>
          <w:szCs w:val="21"/>
          <w:highlight w:val="none"/>
        </w:rPr>
        <w:t>我单位保证上述声明的事项都是真实的，如有虚假，我单位愿意承担相应的法律责任，并承担因此所造成的一切损失。</w:t>
      </w:r>
    </w:p>
    <w:p w14:paraId="3EEDCABB">
      <w:pPr>
        <w:pStyle w:val="48"/>
        <w:spacing w:line="360" w:lineRule="exact"/>
        <w:ind w:firstLine="420" w:firstLineChars="200"/>
        <w:rPr>
          <w:rFonts w:cs="宋体"/>
          <w:color w:val="auto"/>
          <w:sz w:val="21"/>
          <w:szCs w:val="21"/>
          <w:highlight w:val="none"/>
        </w:rPr>
      </w:pPr>
    </w:p>
    <w:p w14:paraId="58DF2A6E">
      <w:pPr>
        <w:pStyle w:val="48"/>
        <w:spacing w:line="360" w:lineRule="exact"/>
        <w:ind w:firstLine="420" w:firstLineChars="200"/>
        <w:rPr>
          <w:rFonts w:cs="宋体"/>
          <w:color w:val="auto"/>
          <w:sz w:val="21"/>
          <w:szCs w:val="21"/>
          <w:highlight w:val="none"/>
        </w:rPr>
      </w:pPr>
      <w:r>
        <w:rPr>
          <w:rFonts w:hint="eastAsia" w:cs="宋体"/>
          <w:color w:val="auto"/>
          <w:sz w:val="21"/>
          <w:szCs w:val="21"/>
          <w:highlight w:val="none"/>
        </w:rPr>
        <w:t xml:space="preserve">供应商法定代表人或代理人（签字或盖章）：       </w:t>
      </w:r>
    </w:p>
    <w:p w14:paraId="3EB9844F">
      <w:pPr>
        <w:pStyle w:val="48"/>
        <w:spacing w:line="360" w:lineRule="exact"/>
        <w:ind w:firstLine="420" w:firstLineChars="200"/>
        <w:rPr>
          <w:rFonts w:cs="宋体"/>
          <w:color w:val="auto"/>
          <w:sz w:val="21"/>
          <w:szCs w:val="21"/>
          <w:highlight w:val="none"/>
        </w:rPr>
      </w:pPr>
      <w:r>
        <w:rPr>
          <w:rFonts w:hint="eastAsia" w:cs="宋体"/>
          <w:color w:val="auto"/>
          <w:sz w:val="21"/>
          <w:szCs w:val="21"/>
          <w:highlight w:val="none"/>
        </w:rPr>
        <w:t xml:space="preserve">供应商名称（公章）：             </w:t>
      </w:r>
    </w:p>
    <w:p w14:paraId="13EEDC15">
      <w:pPr>
        <w:pStyle w:val="48"/>
        <w:spacing w:line="360" w:lineRule="exact"/>
        <w:ind w:firstLine="420" w:firstLineChars="200"/>
        <w:rPr>
          <w:rFonts w:cs="宋体"/>
          <w:color w:val="auto"/>
          <w:sz w:val="21"/>
          <w:szCs w:val="21"/>
          <w:highlight w:val="none"/>
        </w:rPr>
      </w:pPr>
      <w:r>
        <w:rPr>
          <w:rFonts w:hint="eastAsia" w:cs="宋体"/>
          <w:color w:val="auto"/>
          <w:sz w:val="21"/>
          <w:szCs w:val="21"/>
          <w:highlight w:val="none"/>
        </w:rPr>
        <w:t>日    期：     年    月    日</w:t>
      </w:r>
    </w:p>
    <w:p w14:paraId="3225DF5C">
      <w:pPr>
        <w:pStyle w:val="48"/>
        <w:spacing w:line="360" w:lineRule="exact"/>
        <w:ind w:firstLine="562"/>
        <w:rPr>
          <w:rFonts w:cs="宋体"/>
          <w:b/>
          <w:color w:val="auto"/>
          <w:sz w:val="28"/>
          <w:szCs w:val="28"/>
          <w:highlight w:val="none"/>
        </w:rPr>
      </w:pPr>
      <w:r>
        <w:rPr>
          <w:rFonts w:cs="宋体"/>
          <w:b/>
          <w:color w:val="auto"/>
          <w:sz w:val="28"/>
          <w:szCs w:val="28"/>
          <w:highlight w:val="none"/>
        </w:rPr>
        <w:br w:type="page"/>
      </w:r>
    </w:p>
    <w:p w14:paraId="4F308B5B">
      <w:pPr>
        <w:pStyle w:val="2"/>
        <w:jc w:val="left"/>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2.磋商响应函</w:t>
      </w:r>
    </w:p>
    <w:p w14:paraId="6C44F0D2">
      <w:pPr>
        <w:pStyle w:val="18"/>
        <w:rPr>
          <w:rFonts w:ascii="宋体" w:hAnsi="宋体" w:cs="宋体"/>
          <w:color w:val="auto"/>
          <w:highlight w:val="none"/>
        </w:rPr>
      </w:pPr>
    </w:p>
    <w:p w14:paraId="2188F736">
      <w:pPr>
        <w:pStyle w:val="48"/>
        <w:spacing w:line="360" w:lineRule="exact"/>
        <w:jc w:val="center"/>
        <w:rPr>
          <w:rFonts w:cs="宋体"/>
          <w:b/>
          <w:color w:val="auto"/>
          <w:sz w:val="28"/>
          <w:szCs w:val="28"/>
          <w:highlight w:val="none"/>
        </w:rPr>
      </w:pPr>
      <w:r>
        <w:rPr>
          <w:rFonts w:hint="eastAsia" w:cs="宋体"/>
          <w:b/>
          <w:color w:val="auto"/>
          <w:sz w:val="28"/>
          <w:szCs w:val="28"/>
          <w:highlight w:val="none"/>
        </w:rPr>
        <w:t>磋商响应函</w:t>
      </w:r>
    </w:p>
    <w:p w14:paraId="23249CAF">
      <w:pPr>
        <w:pStyle w:val="48"/>
        <w:spacing w:line="360" w:lineRule="exact"/>
        <w:rPr>
          <w:rFonts w:cs="宋体"/>
          <w:color w:val="auto"/>
          <w:sz w:val="21"/>
          <w:szCs w:val="21"/>
          <w:highlight w:val="none"/>
        </w:rPr>
      </w:pPr>
      <w:r>
        <w:rPr>
          <w:rFonts w:hint="eastAsia" w:cs="宋体"/>
          <w:color w:val="auto"/>
          <w:sz w:val="21"/>
          <w:szCs w:val="21"/>
          <w:highlight w:val="none"/>
        </w:rPr>
        <w:t>致：</w:t>
      </w:r>
      <w:r>
        <w:rPr>
          <w:rFonts w:hint="eastAsia"/>
          <w:color w:val="auto"/>
          <w:sz w:val="21"/>
          <w:szCs w:val="21"/>
          <w:highlight w:val="none"/>
        </w:rPr>
        <w:t>常州市公安局</w:t>
      </w:r>
      <w:r>
        <w:rPr>
          <w:rFonts w:hint="eastAsia" w:cs="宋体"/>
          <w:color w:val="auto"/>
          <w:sz w:val="21"/>
          <w:szCs w:val="21"/>
          <w:highlight w:val="none"/>
        </w:rPr>
        <w:t>、</w:t>
      </w:r>
      <w:r>
        <w:rPr>
          <w:rFonts w:hint="eastAsia" w:cs="宋体"/>
          <w:color w:val="auto"/>
          <w:sz w:val="21"/>
          <w:szCs w:val="21"/>
          <w:highlight w:val="none"/>
        </w:rPr>
        <w:t>常州市城投建设工程招标有限公司：</w:t>
      </w:r>
    </w:p>
    <w:p w14:paraId="730D2A80">
      <w:pPr>
        <w:pStyle w:val="48"/>
        <w:spacing w:line="360" w:lineRule="exact"/>
        <w:ind w:firstLine="420"/>
        <w:jc w:val="left"/>
        <w:rPr>
          <w:rFonts w:cs="宋体"/>
          <w:color w:val="auto"/>
          <w:sz w:val="21"/>
          <w:szCs w:val="21"/>
          <w:highlight w:val="none"/>
        </w:rPr>
      </w:pPr>
      <w:r>
        <w:rPr>
          <w:rFonts w:hint="eastAsia" w:cs="宋体"/>
          <w:color w:val="auto"/>
          <w:sz w:val="21"/>
          <w:szCs w:val="21"/>
          <w:highlight w:val="none"/>
        </w:rPr>
        <w:t>我单位收到贵单位“       号”磋商文件后，经仔细阅读和研究，我单位决定参加本项目的竞争性磋商活动。为此，我单位郑重声明以下诸点，并负法律责任。</w:t>
      </w:r>
    </w:p>
    <w:p w14:paraId="5564DE25">
      <w:pPr>
        <w:pStyle w:val="48"/>
        <w:spacing w:line="360" w:lineRule="exact"/>
        <w:ind w:firstLine="420"/>
        <w:jc w:val="left"/>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rPr>
        <w:t>我单位愿意遵守贵单位有关采购的各项规定，提供竞争性磋商文件中要求的所有资料，并保证完全真实准确，若有虚假和违背，我单位愿意承担由此而产生的一切后果。</w:t>
      </w:r>
    </w:p>
    <w:p w14:paraId="6E3D69C0">
      <w:pPr>
        <w:pStyle w:val="48"/>
        <w:spacing w:line="360" w:lineRule="exact"/>
        <w:ind w:firstLine="420"/>
        <w:jc w:val="left"/>
        <w:rPr>
          <w:rFonts w:cs="宋体"/>
          <w:color w:val="auto"/>
          <w:sz w:val="21"/>
          <w:szCs w:val="21"/>
          <w:highlight w:val="none"/>
        </w:rPr>
      </w:pPr>
      <w:r>
        <w:rPr>
          <w:rFonts w:hint="eastAsia" w:cs="宋体"/>
          <w:color w:val="auto"/>
          <w:sz w:val="21"/>
          <w:szCs w:val="21"/>
          <w:highlight w:val="none"/>
        </w:rPr>
        <w:t>2.我单位承诺财务状况良好，依法缴纳税收和社会保障资金，具备履行合同所必需的设</w:t>
      </w:r>
      <w:r>
        <w:rPr>
          <w:rFonts w:hint="eastAsia" w:cs="宋体"/>
          <w:color w:val="auto"/>
          <w:sz w:val="21"/>
          <w:szCs w:val="21"/>
          <w:highlight w:val="none"/>
        </w:rPr>
        <w:t>备和专业技术能力，参加采购活动前3年内在经营活动中没有重大违法记录。</w:t>
      </w:r>
    </w:p>
    <w:p w14:paraId="6077185A">
      <w:pPr>
        <w:adjustRightInd w:val="0"/>
        <w:snapToGrid w:val="0"/>
        <w:spacing w:line="360" w:lineRule="exact"/>
        <w:ind w:firstLine="422" w:firstLineChars="20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3.我单位承诺保证采购人在使用该货物或其任何一部分时不受第三方提出侵犯其专利权</w:t>
      </w:r>
      <w:r>
        <w:rPr>
          <w:rFonts w:hint="eastAsia"/>
          <w:color w:val="auto"/>
          <w:highlight w:val="none"/>
          <w:shd w:val="clear" w:color="auto" w:fill="FFFFFF"/>
        </w:rPr>
        <w:t>、</w:t>
      </w:r>
      <w:r>
        <w:rPr>
          <w:color w:val="auto"/>
          <w:highlight w:val="none"/>
          <w:shd w:val="clear" w:color="auto" w:fill="FFFFFF"/>
        </w:rPr>
        <w:t>著作</w:t>
      </w:r>
      <w:r>
        <w:rPr>
          <w:rFonts w:hint="eastAsia"/>
          <w:color w:val="auto"/>
          <w:highlight w:val="none"/>
          <w:shd w:val="clear" w:color="auto" w:fill="FFFFFF"/>
        </w:rPr>
        <w:t>权、商标权等知识产权的起诉。</w:t>
      </w:r>
      <w:r>
        <w:rPr>
          <w:rFonts w:hint="eastAsia" w:asciiTheme="minorEastAsia" w:hAnsiTheme="minorEastAsia" w:eastAsiaTheme="minorEastAsia"/>
          <w:color w:val="auto"/>
          <w:szCs w:val="21"/>
          <w:highlight w:val="none"/>
        </w:rPr>
        <w:t>一旦出现侵权、索赔或诉讼，我单位承担全部责任。</w:t>
      </w:r>
    </w:p>
    <w:p w14:paraId="7F45AE3F">
      <w:pPr>
        <w:pStyle w:val="48"/>
        <w:spacing w:line="360" w:lineRule="exact"/>
        <w:ind w:firstLine="420"/>
        <w:jc w:val="left"/>
        <w:rPr>
          <w:rFonts w:cs="宋体"/>
          <w:color w:val="auto"/>
          <w:sz w:val="21"/>
          <w:szCs w:val="21"/>
          <w:highlight w:val="none"/>
        </w:rPr>
      </w:pPr>
      <w:r>
        <w:rPr>
          <w:rFonts w:hint="eastAsia" w:cs="宋体"/>
          <w:color w:val="auto"/>
          <w:sz w:val="21"/>
          <w:szCs w:val="21"/>
          <w:highlight w:val="none"/>
          <w:lang w:val="en-US" w:eastAsia="zh-CN"/>
        </w:rPr>
        <w:t>4</w:t>
      </w:r>
      <w:r>
        <w:rPr>
          <w:rFonts w:hint="eastAsia" w:cs="宋体"/>
          <w:color w:val="auto"/>
          <w:sz w:val="21"/>
          <w:szCs w:val="21"/>
          <w:highlight w:val="none"/>
        </w:rPr>
        <w:t>.我单位承诺该磋商响应文件在磋商开始后的全过程中保持有效，不作任何更改和变动。并同意按竞争性磋商文件中的规定，本磋商响应文件的有效期限为投标开始后</w:t>
      </w:r>
      <w:r>
        <w:rPr>
          <w:rFonts w:hint="eastAsia" w:cs="宋体"/>
          <w:color w:val="auto"/>
          <w:sz w:val="21"/>
          <w:szCs w:val="21"/>
          <w:highlight w:val="none"/>
          <w:u w:val="single"/>
        </w:rPr>
        <w:t>60</w:t>
      </w:r>
      <w:r>
        <w:rPr>
          <w:rFonts w:hint="eastAsia" w:cs="宋体"/>
          <w:color w:val="auto"/>
          <w:sz w:val="21"/>
          <w:szCs w:val="21"/>
          <w:highlight w:val="none"/>
        </w:rPr>
        <w:t>天。</w:t>
      </w:r>
    </w:p>
    <w:p w14:paraId="332C4A22">
      <w:pPr>
        <w:pStyle w:val="48"/>
        <w:spacing w:line="360" w:lineRule="exact"/>
        <w:ind w:firstLine="420"/>
        <w:jc w:val="left"/>
        <w:rPr>
          <w:rFonts w:cs="宋体"/>
          <w:color w:val="auto"/>
          <w:sz w:val="21"/>
          <w:szCs w:val="21"/>
          <w:highlight w:val="none"/>
        </w:rPr>
      </w:pPr>
      <w:r>
        <w:rPr>
          <w:rFonts w:hint="eastAsia" w:cs="宋体"/>
          <w:color w:val="auto"/>
          <w:sz w:val="21"/>
          <w:szCs w:val="21"/>
          <w:highlight w:val="none"/>
          <w:lang w:val="en-US" w:eastAsia="zh-CN"/>
        </w:rPr>
        <w:t>5</w:t>
      </w:r>
      <w:r>
        <w:rPr>
          <w:rFonts w:hint="eastAsia" w:cs="宋体"/>
          <w:color w:val="auto"/>
          <w:sz w:val="21"/>
          <w:szCs w:val="21"/>
          <w:highlight w:val="none"/>
        </w:rPr>
        <w:t>.我单位愿意按竞争性磋商文件规定的各项要求，向采购人提供所需货物与服务。磋商报价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C63C38A">
      <w:pPr>
        <w:pStyle w:val="48"/>
        <w:spacing w:line="360" w:lineRule="exact"/>
        <w:ind w:firstLine="420"/>
        <w:jc w:val="left"/>
        <w:rPr>
          <w:rFonts w:cs="宋体"/>
          <w:color w:val="auto"/>
          <w:sz w:val="21"/>
          <w:szCs w:val="21"/>
          <w:highlight w:val="none"/>
        </w:rPr>
      </w:pPr>
      <w:r>
        <w:rPr>
          <w:rFonts w:hint="eastAsia" w:cs="宋体"/>
          <w:color w:val="auto"/>
          <w:sz w:val="21"/>
          <w:szCs w:val="21"/>
          <w:highlight w:val="none"/>
          <w:lang w:val="en-US" w:eastAsia="zh-CN"/>
        </w:rPr>
        <w:t>6</w:t>
      </w:r>
      <w:r>
        <w:rPr>
          <w:rFonts w:hint="eastAsia" w:cs="宋体"/>
          <w:color w:val="auto"/>
          <w:sz w:val="21"/>
          <w:szCs w:val="21"/>
          <w:highlight w:val="none"/>
        </w:rPr>
        <w:t>.我单位认为贵单位有权决定成交供应商，还认为贵单位有权接受或拒绝所有的供应商。</w:t>
      </w:r>
    </w:p>
    <w:p w14:paraId="2625BF8A">
      <w:pPr>
        <w:pStyle w:val="48"/>
        <w:spacing w:line="360" w:lineRule="exact"/>
        <w:ind w:firstLine="420"/>
        <w:jc w:val="left"/>
        <w:rPr>
          <w:rFonts w:cs="宋体"/>
          <w:color w:val="auto"/>
          <w:sz w:val="21"/>
          <w:szCs w:val="21"/>
          <w:highlight w:val="none"/>
        </w:rPr>
      </w:pPr>
      <w:r>
        <w:rPr>
          <w:rFonts w:hint="eastAsia" w:cs="宋体"/>
          <w:color w:val="auto"/>
          <w:sz w:val="21"/>
          <w:szCs w:val="21"/>
          <w:highlight w:val="none"/>
          <w:lang w:val="en-US" w:eastAsia="zh-CN"/>
        </w:rPr>
        <w:t>7</w:t>
      </w:r>
      <w:r>
        <w:rPr>
          <w:rFonts w:hint="eastAsia" w:cs="宋体"/>
          <w:color w:val="auto"/>
          <w:sz w:val="21"/>
          <w:szCs w:val="21"/>
          <w:highlight w:val="none"/>
        </w:rPr>
        <w:t>.我单位愿意遵守竞争性磋商文件中所列的收费标准，按竞争性磋商文件的规定支付成交服务费。</w:t>
      </w:r>
    </w:p>
    <w:p w14:paraId="6ACAEF25">
      <w:pPr>
        <w:pStyle w:val="48"/>
        <w:spacing w:line="360" w:lineRule="exact"/>
        <w:ind w:firstLine="420"/>
        <w:jc w:val="left"/>
        <w:rPr>
          <w:rFonts w:cs="宋体"/>
          <w:color w:val="auto"/>
          <w:sz w:val="21"/>
          <w:szCs w:val="21"/>
          <w:highlight w:val="none"/>
        </w:rPr>
      </w:pPr>
      <w:r>
        <w:rPr>
          <w:rFonts w:hint="eastAsia" w:cs="宋体"/>
          <w:color w:val="auto"/>
          <w:sz w:val="21"/>
          <w:szCs w:val="21"/>
          <w:highlight w:val="none"/>
          <w:lang w:val="en-US" w:eastAsia="zh-CN"/>
        </w:rPr>
        <w:t>8</w:t>
      </w:r>
      <w:r>
        <w:rPr>
          <w:rFonts w:hint="eastAsia" w:cs="宋体"/>
          <w:color w:val="auto"/>
          <w:sz w:val="21"/>
          <w:szCs w:val="21"/>
          <w:highlight w:val="none"/>
        </w:rPr>
        <w:t>.如果我单位的磋商响应文件被接受，愿按《中华人民共和国民法典》履行自己的全部责任，同时严格履行竞争性磋商文件中规定的每一项要求，按期、按质、按量履行合同的义务。</w:t>
      </w:r>
    </w:p>
    <w:p w14:paraId="2E198357">
      <w:pPr>
        <w:pStyle w:val="48"/>
        <w:spacing w:line="360" w:lineRule="exact"/>
        <w:ind w:firstLine="405"/>
        <w:rPr>
          <w:rFonts w:cs="宋体"/>
          <w:color w:val="auto"/>
          <w:sz w:val="21"/>
          <w:szCs w:val="21"/>
          <w:highlight w:val="none"/>
        </w:rPr>
      </w:pPr>
      <w:r>
        <w:rPr>
          <w:rFonts w:hint="eastAsia" w:cs="宋体"/>
          <w:color w:val="auto"/>
          <w:sz w:val="21"/>
          <w:szCs w:val="21"/>
          <w:highlight w:val="none"/>
          <w:lang w:val="en-US" w:eastAsia="zh-CN"/>
        </w:rPr>
        <w:t>9</w:t>
      </w:r>
      <w:r>
        <w:rPr>
          <w:rFonts w:hint="eastAsia" w:cs="宋体"/>
          <w:color w:val="auto"/>
          <w:sz w:val="21"/>
          <w:szCs w:val="21"/>
          <w:highlight w:val="none"/>
        </w:rPr>
        <w:t>.与本次磋商有关的正式通讯地址为：</w:t>
      </w:r>
    </w:p>
    <w:p w14:paraId="27405327">
      <w:pPr>
        <w:pStyle w:val="48"/>
        <w:spacing w:line="360" w:lineRule="exact"/>
        <w:jc w:val="left"/>
        <w:rPr>
          <w:rFonts w:cs="宋体"/>
          <w:color w:val="auto"/>
          <w:sz w:val="21"/>
          <w:szCs w:val="21"/>
          <w:highlight w:val="none"/>
        </w:rPr>
      </w:pPr>
    </w:p>
    <w:p w14:paraId="35B5D981">
      <w:pPr>
        <w:pStyle w:val="48"/>
        <w:spacing w:line="360" w:lineRule="exact"/>
        <w:jc w:val="left"/>
        <w:rPr>
          <w:rFonts w:cs="宋体"/>
          <w:color w:val="auto"/>
          <w:sz w:val="21"/>
          <w:szCs w:val="21"/>
          <w:highlight w:val="none"/>
        </w:rPr>
      </w:pPr>
      <w:r>
        <w:rPr>
          <w:rFonts w:hint="eastAsia" w:cs="宋体"/>
          <w:color w:val="auto"/>
          <w:sz w:val="21"/>
          <w:szCs w:val="21"/>
          <w:highlight w:val="none"/>
        </w:rPr>
        <w:t xml:space="preserve">地   址：                  </w:t>
      </w:r>
    </w:p>
    <w:p w14:paraId="71F31C0E">
      <w:pPr>
        <w:pStyle w:val="48"/>
        <w:spacing w:line="360" w:lineRule="exact"/>
        <w:rPr>
          <w:rFonts w:cs="宋体"/>
          <w:color w:val="auto"/>
          <w:sz w:val="21"/>
          <w:szCs w:val="21"/>
          <w:highlight w:val="none"/>
        </w:rPr>
      </w:pPr>
      <w:r>
        <w:rPr>
          <w:rFonts w:hint="eastAsia" w:cs="宋体"/>
          <w:color w:val="auto"/>
          <w:sz w:val="21"/>
          <w:szCs w:val="21"/>
          <w:highlight w:val="none"/>
        </w:rPr>
        <w:t xml:space="preserve">电   话：                  </w:t>
      </w:r>
    </w:p>
    <w:p w14:paraId="7E87FB54">
      <w:pPr>
        <w:pStyle w:val="48"/>
        <w:spacing w:line="360" w:lineRule="exact"/>
        <w:rPr>
          <w:rFonts w:hint="eastAsia" w:cs="宋体"/>
          <w:color w:val="auto"/>
          <w:sz w:val="21"/>
          <w:szCs w:val="21"/>
          <w:highlight w:val="none"/>
        </w:rPr>
      </w:pPr>
      <w:r>
        <w:rPr>
          <w:rFonts w:hint="eastAsia" w:cs="宋体"/>
          <w:color w:val="auto"/>
          <w:sz w:val="21"/>
          <w:szCs w:val="21"/>
          <w:highlight w:val="none"/>
        </w:rPr>
        <w:t xml:space="preserve">传   真： </w:t>
      </w:r>
    </w:p>
    <w:p w14:paraId="1F8AAC7F">
      <w:pPr>
        <w:pStyle w:val="48"/>
        <w:spacing w:line="360" w:lineRule="exact"/>
        <w:rPr>
          <w:rFonts w:cs="宋体"/>
          <w:color w:val="auto"/>
          <w:sz w:val="21"/>
          <w:szCs w:val="21"/>
          <w:highlight w:val="none"/>
        </w:rPr>
      </w:pPr>
      <w:r>
        <w:rPr>
          <w:rFonts w:hint="eastAsia" w:cs="宋体"/>
          <w:color w:val="auto"/>
          <w:sz w:val="21"/>
          <w:szCs w:val="21"/>
          <w:highlight w:val="none"/>
          <w:lang w:val="en-US" w:eastAsia="zh-CN"/>
        </w:rPr>
        <w:t>电子函件：</w:t>
      </w:r>
      <w:r>
        <w:rPr>
          <w:rFonts w:hint="eastAsia" w:cs="宋体"/>
          <w:color w:val="auto"/>
          <w:sz w:val="21"/>
          <w:szCs w:val="21"/>
          <w:highlight w:val="none"/>
        </w:rPr>
        <w:t xml:space="preserve"> </w:t>
      </w:r>
      <w:r>
        <w:rPr>
          <w:rFonts w:hint="eastAsia" w:cs="宋体"/>
          <w:color w:val="auto"/>
          <w:sz w:val="21"/>
          <w:szCs w:val="21"/>
          <w:highlight w:val="none"/>
        </w:rPr>
        <w:t xml:space="preserve">                </w:t>
      </w:r>
    </w:p>
    <w:p w14:paraId="77891D35">
      <w:pPr>
        <w:pStyle w:val="48"/>
        <w:spacing w:line="360" w:lineRule="exact"/>
        <w:rPr>
          <w:rFonts w:cs="宋体"/>
          <w:color w:val="auto"/>
          <w:sz w:val="21"/>
          <w:szCs w:val="21"/>
          <w:highlight w:val="none"/>
        </w:rPr>
      </w:pPr>
      <w:r>
        <w:rPr>
          <w:rFonts w:hint="eastAsia" w:cs="宋体"/>
          <w:color w:val="auto"/>
          <w:sz w:val="21"/>
          <w:szCs w:val="21"/>
          <w:highlight w:val="none"/>
        </w:rPr>
        <w:t xml:space="preserve">供应商法定代表人或代理人（签字或盖章）：       </w:t>
      </w:r>
    </w:p>
    <w:p w14:paraId="561A6EEE">
      <w:pPr>
        <w:pStyle w:val="48"/>
        <w:spacing w:line="360" w:lineRule="exact"/>
        <w:rPr>
          <w:rFonts w:cs="宋体"/>
          <w:color w:val="auto"/>
          <w:sz w:val="21"/>
          <w:szCs w:val="21"/>
          <w:highlight w:val="none"/>
        </w:rPr>
      </w:pPr>
      <w:r>
        <w:rPr>
          <w:rFonts w:hint="eastAsia" w:cs="宋体"/>
          <w:color w:val="auto"/>
          <w:sz w:val="21"/>
          <w:szCs w:val="21"/>
          <w:highlight w:val="none"/>
        </w:rPr>
        <w:t xml:space="preserve">供应商名称（公章）：             </w:t>
      </w:r>
    </w:p>
    <w:p w14:paraId="58BE21FC">
      <w:pPr>
        <w:pStyle w:val="48"/>
        <w:spacing w:line="360" w:lineRule="exact"/>
        <w:rPr>
          <w:rFonts w:cs="宋体"/>
          <w:color w:val="auto"/>
          <w:sz w:val="21"/>
          <w:szCs w:val="21"/>
          <w:highlight w:val="none"/>
        </w:rPr>
      </w:pPr>
      <w:r>
        <w:rPr>
          <w:rFonts w:hint="eastAsia" w:cs="宋体"/>
          <w:color w:val="auto"/>
          <w:sz w:val="21"/>
          <w:szCs w:val="21"/>
          <w:highlight w:val="none"/>
        </w:rPr>
        <w:t>日    期：     年    月    日.</w:t>
      </w:r>
    </w:p>
    <w:p w14:paraId="5A0B1A55">
      <w:pPr>
        <w:pStyle w:val="18"/>
        <w:rPr>
          <w:rFonts w:ascii="宋体" w:hAnsi="宋体" w:cs="宋体"/>
          <w:color w:val="auto"/>
          <w:highlight w:val="none"/>
        </w:rPr>
      </w:pPr>
    </w:p>
    <w:p w14:paraId="609A9BE0">
      <w:pPr>
        <w:rPr>
          <w:rFonts w:ascii="宋体" w:hAnsi="宋体" w:cs="宋体"/>
          <w:color w:val="auto"/>
          <w:highlight w:val="none"/>
        </w:rPr>
      </w:pPr>
    </w:p>
    <w:p w14:paraId="11B65F22">
      <w:pPr>
        <w:rPr>
          <w:rFonts w:ascii="宋体" w:hAnsi="宋体" w:cs="宋体"/>
          <w:color w:val="auto"/>
          <w:highlight w:val="none"/>
        </w:rPr>
      </w:pPr>
    </w:p>
    <w:p w14:paraId="2E7E9770">
      <w:pPr>
        <w:rPr>
          <w:rFonts w:ascii="宋体" w:hAnsi="宋体" w:cs="宋体"/>
          <w:color w:val="auto"/>
          <w:highlight w:val="none"/>
        </w:rPr>
      </w:pPr>
    </w:p>
    <w:p w14:paraId="30DD3550">
      <w:pPr>
        <w:rPr>
          <w:rFonts w:ascii="宋体" w:hAnsi="宋体" w:cs="宋体"/>
          <w:color w:val="auto"/>
          <w:highlight w:val="none"/>
        </w:rPr>
      </w:pPr>
    </w:p>
    <w:p w14:paraId="1F88DB6B">
      <w:pPr>
        <w:rPr>
          <w:rFonts w:ascii="宋体" w:hAnsi="宋体" w:cs="宋体"/>
          <w:color w:val="auto"/>
          <w:highlight w:val="none"/>
        </w:rPr>
      </w:pPr>
    </w:p>
    <w:p w14:paraId="34C47E5F">
      <w:pPr>
        <w:pStyle w:val="48"/>
        <w:spacing w:line="360" w:lineRule="exact"/>
        <w:rPr>
          <w:rFonts w:cs="宋体"/>
          <w:b/>
          <w:color w:val="auto"/>
          <w:sz w:val="28"/>
          <w:szCs w:val="28"/>
          <w:highlight w:val="none"/>
        </w:rPr>
      </w:pPr>
    </w:p>
    <w:p w14:paraId="29387D6F">
      <w:pPr>
        <w:pStyle w:val="2"/>
        <w:jc w:val="left"/>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3.法定代表人资格证明书</w:t>
      </w:r>
    </w:p>
    <w:p w14:paraId="78E2F543">
      <w:pPr>
        <w:rPr>
          <w:rFonts w:ascii="宋体" w:hAnsi="宋体" w:cs="宋体"/>
          <w:color w:val="auto"/>
          <w:highlight w:val="none"/>
        </w:rPr>
      </w:pPr>
    </w:p>
    <w:p w14:paraId="3A4E7CE0">
      <w:pPr>
        <w:spacing w:line="360" w:lineRule="auto"/>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79C7986B">
      <w:pPr>
        <w:spacing w:line="360" w:lineRule="auto"/>
        <w:rPr>
          <w:rFonts w:ascii="宋体" w:hAnsi="宋体" w:cs="宋体"/>
          <w:color w:val="auto"/>
          <w:szCs w:val="21"/>
          <w:highlight w:val="none"/>
        </w:rPr>
      </w:pPr>
      <w:r>
        <w:rPr>
          <w:rFonts w:hint="eastAsia" w:ascii="宋体" w:hAnsi="宋体" w:cs="宋体"/>
          <w:color w:val="auto"/>
          <w:szCs w:val="21"/>
          <w:highlight w:val="none"/>
        </w:rPr>
        <w:t>单位名称:</w:t>
      </w:r>
    </w:p>
    <w:p w14:paraId="25898DEE">
      <w:pPr>
        <w:spacing w:line="360" w:lineRule="auto"/>
        <w:rPr>
          <w:rFonts w:ascii="宋体" w:hAnsi="宋体" w:cs="宋体"/>
          <w:color w:val="auto"/>
          <w:szCs w:val="21"/>
          <w:highlight w:val="none"/>
        </w:rPr>
      </w:pPr>
      <w:r>
        <w:rPr>
          <w:rFonts w:hint="eastAsia" w:ascii="宋体" w:hAnsi="宋体" w:cs="宋体"/>
          <w:color w:val="auto"/>
          <w:szCs w:val="21"/>
          <w:highlight w:val="none"/>
        </w:rPr>
        <w:t>地址:</w:t>
      </w:r>
    </w:p>
    <w:p w14:paraId="767DDA29">
      <w:pPr>
        <w:spacing w:line="360" w:lineRule="auto"/>
        <w:rPr>
          <w:rFonts w:ascii="宋体" w:hAnsi="宋体" w:cs="宋体"/>
          <w:color w:val="auto"/>
          <w:szCs w:val="21"/>
          <w:highlight w:val="none"/>
        </w:rPr>
      </w:pPr>
      <w:r>
        <w:rPr>
          <w:rFonts w:hint="eastAsia" w:ascii="宋体" w:hAnsi="宋体" w:cs="宋体"/>
          <w:color w:val="auto"/>
          <w:szCs w:val="21"/>
          <w:highlight w:val="none"/>
        </w:rPr>
        <w:t>姓名:            性别:        年龄:        职务:</w:t>
      </w:r>
    </w:p>
    <w:p w14:paraId="339E8067">
      <w:pPr>
        <w:spacing w:line="360" w:lineRule="auto"/>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的法定代表人。为实施 </w:t>
      </w:r>
      <w:r>
        <w:rPr>
          <w:rFonts w:hint="eastAsia" w:ascii="宋体" w:hAnsi="宋体" w:cs="宋体"/>
          <w:color w:val="auto"/>
          <w:szCs w:val="21"/>
          <w:highlight w:val="none"/>
          <w:u w:val="single"/>
        </w:rPr>
        <w:t xml:space="preserve">           （      号） </w:t>
      </w:r>
      <w:r>
        <w:rPr>
          <w:rFonts w:hint="eastAsia" w:ascii="宋体" w:hAnsi="宋体" w:cs="宋体"/>
          <w:color w:val="auto"/>
          <w:szCs w:val="21"/>
          <w:highlight w:val="none"/>
        </w:rPr>
        <w:t>的工作，签署上述项目的磋商响应文件、进行合同磋商、签署合同和处理与之有关的一切事务。</w:t>
      </w:r>
    </w:p>
    <w:p w14:paraId="73CEBD5E">
      <w:pPr>
        <w:spacing w:line="360" w:lineRule="auto"/>
        <w:rPr>
          <w:rFonts w:ascii="宋体" w:hAnsi="宋体" w:cs="宋体"/>
          <w:color w:val="auto"/>
          <w:szCs w:val="21"/>
          <w:highlight w:val="none"/>
        </w:rPr>
      </w:pPr>
      <w:r>
        <w:rPr>
          <w:rFonts w:hint="eastAsia" w:ascii="宋体" w:hAnsi="宋体" w:cs="宋体"/>
          <w:color w:val="auto"/>
          <w:szCs w:val="21"/>
          <w:highlight w:val="none"/>
        </w:rPr>
        <w:t>特此证明。</w:t>
      </w:r>
    </w:p>
    <w:p w14:paraId="5C30CFF0">
      <w:pPr>
        <w:spacing w:line="360" w:lineRule="auto"/>
        <w:rPr>
          <w:rFonts w:ascii="宋体" w:hAnsi="宋体" w:cs="宋体"/>
          <w:color w:val="auto"/>
          <w:szCs w:val="21"/>
          <w:highlight w:val="none"/>
        </w:rPr>
      </w:pPr>
    </w:p>
    <w:p w14:paraId="091FB428">
      <w:pPr>
        <w:spacing w:line="360" w:lineRule="auto"/>
        <w:rPr>
          <w:rFonts w:ascii="宋体" w:hAnsi="宋体" w:cs="宋体"/>
          <w:color w:val="auto"/>
          <w:szCs w:val="21"/>
          <w:highlight w:val="none"/>
        </w:rPr>
      </w:pPr>
    </w:p>
    <w:p w14:paraId="5F42D2C2">
      <w:pPr>
        <w:spacing w:line="360" w:lineRule="auto"/>
        <w:rPr>
          <w:rFonts w:ascii="宋体" w:hAnsi="宋体" w:cs="宋体"/>
          <w:color w:val="auto"/>
          <w:szCs w:val="21"/>
          <w:highlight w:val="none"/>
        </w:rPr>
      </w:pPr>
      <w:r>
        <w:rPr>
          <w:rFonts w:hint="eastAsia" w:ascii="宋体" w:hAnsi="宋体" w:cs="宋体"/>
          <w:color w:val="auto"/>
          <w:szCs w:val="21"/>
          <w:highlight w:val="none"/>
        </w:rPr>
        <w:t>                 供应商：（公章）</w:t>
      </w:r>
    </w:p>
    <w:p w14:paraId="787B5F24">
      <w:pPr>
        <w:spacing w:line="360" w:lineRule="auto"/>
        <w:rPr>
          <w:rFonts w:ascii="宋体" w:hAnsi="宋体" w:cs="宋体"/>
          <w:color w:val="auto"/>
          <w:szCs w:val="21"/>
          <w:highlight w:val="none"/>
        </w:rPr>
      </w:pPr>
      <w:r>
        <w:rPr>
          <w:rFonts w:hint="eastAsia" w:ascii="宋体" w:hAnsi="宋体" w:cs="宋体"/>
          <w:color w:val="auto"/>
          <w:szCs w:val="21"/>
          <w:highlight w:val="none"/>
        </w:rPr>
        <w:t>                     法定代表人签字或盖章：</w:t>
      </w:r>
    </w:p>
    <w:p w14:paraId="3C786969">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日期：    年    月    日</w:t>
      </w:r>
    </w:p>
    <w:p w14:paraId="3E996AF1">
      <w:pPr>
        <w:tabs>
          <w:tab w:val="left" w:pos="6045"/>
        </w:tabs>
        <w:snapToGrid w:val="0"/>
        <w:spacing w:line="360" w:lineRule="auto"/>
        <w:ind w:left="210" w:hanging="210" w:hangingChars="100"/>
        <w:rPr>
          <w:rFonts w:ascii="宋体" w:hAnsi="宋体" w:cs="宋体"/>
          <w:color w:val="auto"/>
          <w:szCs w:val="21"/>
          <w:highlight w:val="none"/>
        </w:rPr>
      </w:pPr>
    </w:p>
    <w:p w14:paraId="518F98A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p w14:paraId="4404E7AC">
      <w:pPr>
        <w:snapToGrid w:val="0"/>
        <w:spacing w:line="360" w:lineRule="auto"/>
        <w:rPr>
          <w:rFonts w:ascii="宋体" w:hAnsi="宋体" w:cs="宋体"/>
          <w:color w:val="auto"/>
          <w:szCs w:val="21"/>
          <w:highlight w:val="none"/>
        </w:rPr>
      </w:pPr>
    </w:p>
    <w:p w14:paraId="316B4E13">
      <w:pPr>
        <w:snapToGrid w:val="0"/>
        <w:spacing w:line="360" w:lineRule="auto"/>
        <w:rPr>
          <w:rFonts w:ascii="宋体" w:hAnsi="宋体" w:cs="宋体"/>
          <w:b/>
          <w:color w:val="auto"/>
          <w:szCs w:val="21"/>
          <w:highlight w:val="none"/>
        </w:rPr>
      </w:pPr>
    </w:p>
    <w:p w14:paraId="110E47F0">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法定代表人身份证</w:t>
      </w:r>
    </w:p>
    <w:p w14:paraId="3E2FE31A">
      <w:pPr>
        <w:spacing w:line="360" w:lineRule="auto"/>
        <w:rPr>
          <w:rFonts w:ascii="宋体" w:hAnsi="宋体" w:cs="宋体"/>
          <w:color w:val="auto"/>
          <w:szCs w:val="21"/>
          <w:highlight w:val="none"/>
        </w:rPr>
      </w:pPr>
      <w:r>
        <w:rPr>
          <w:rFonts w:hint="eastAsia" w:ascii="宋体" w:hAnsi="宋体" w:cs="宋体"/>
          <w:color w:val="auto"/>
          <w:szCs w:val="21"/>
          <w:highlight w:val="none"/>
        </w:rPr>
        <w:t>（双面复印件）粘贴处</w:t>
      </w:r>
    </w:p>
    <w:p w14:paraId="12C47D88">
      <w:pPr>
        <w:snapToGrid w:val="0"/>
        <w:spacing w:line="360" w:lineRule="auto"/>
        <w:rPr>
          <w:rFonts w:ascii="宋体" w:hAnsi="宋体" w:cs="宋体"/>
          <w:b/>
          <w:color w:val="auto"/>
          <w:sz w:val="24"/>
          <w:szCs w:val="28"/>
          <w:highlight w:val="none"/>
        </w:rPr>
      </w:pPr>
    </w:p>
    <w:p w14:paraId="407F5E83">
      <w:pPr>
        <w:snapToGrid w:val="0"/>
        <w:spacing w:line="360" w:lineRule="auto"/>
        <w:rPr>
          <w:rFonts w:ascii="宋体" w:hAnsi="宋体" w:cs="宋体"/>
          <w:b/>
          <w:color w:val="auto"/>
          <w:sz w:val="24"/>
          <w:szCs w:val="28"/>
          <w:highlight w:val="none"/>
        </w:rPr>
      </w:pPr>
    </w:p>
    <w:p w14:paraId="1244BAC0">
      <w:pPr>
        <w:rPr>
          <w:rFonts w:ascii="宋体" w:hAnsi="宋体" w:cs="宋体"/>
          <w:color w:val="auto"/>
          <w:highlight w:val="none"/>
        </w:rPr>
      </w:pPr>
    </w:p>
    <w:p w14:paraId="270CACB3">
      <w:pPr>
        <w:rPr>
          <w:rFonts w:ascii="宋体" w:hAnsi="宋体" w:cs="宋体"/>
          <w:color w:val="auto"/>
          <w:highlight w:val="none"/>
        </w:rPr>
      </w:pPr>
    </w:p>
    <w:p w14:paraId="50E5CAC1">
      <w:pPr>
        <w:rPr>
          <w:rFonts w:ascii="宋体" w:hAnsi="宋体" w:cs="宋体"/>
          <w:color w:val="auto"/>
          <w:highlight w:val="none"/>
        </w:rPr>
      </w:pPr>
    </w:p>
    <w:p w14:paraId="32D90B8F">
      <w:pPr>
        <w:rPr>
          <w:rFonts w:ascii="宋体" w:hAnsi="宋体" w:cs="宋体"/>
          <w:color w:val="auto"/>
          <w:highlight w:val="none"/>
        </w:rPr>
      </w:pPr>
    </w:p>
    <w:p w14:paraId="2E27F023">
      <w:pPr>
        <w:rPr>
          <w:rFonts w:ascii="宋体" w:hAnsi="宋体" w:cs="宋体"/>
          <w:color w:val="auto"/>
          <w:highlight w:val="none"/>
        </w:rPr>
      </w:pPr>
    </w:p>
    <w:p w14:paraId="19DF5538">
      <w:pPr>
        <w:rPr>
          <w:rFonts w:ascii="宋体" w:hAnsi="宋体" w:cs="宋体"/>
          <w:color w:val="auto"/>
          <w:highlight w:val="none"/>
        </w:rPr>
      </w:pPr>
    </w:p>
    <w:p w14:paraId="5B8D9415">
      <w:pPr>
        <w:rPr>
          <w:rFonts w:ascii="宋体" w:hAnsi="宋体" w:cs="宋体"/>
          <w:color w:val="auto"/>
          <w:highlight w:val="none"/>
        </w:rPr>
      </w:pPr>
    </w:p>
    <w:p w14:paraId="721FD3D9">
      <w:pPr>
        <w:rPr>
          <w:rFonts w:hint="eastAsia"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br w:type="page"/>
      </w:r>
    </w:p>
    <w:p w14:paraId="4CE741E3">
      <w:pPr>
        <w:pStyle w:val="2"/>
        <w:jc w:val="left"/>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4.授权委托书</w:t>
      </w:r>
    </w:p>
    <w:p w14:paraId="7B1556D7">
      <w:pPr>
        <w:pStyle w:val="48"/>
        <w:spacing w:line="360" w:lineRule="exact"/>
        <w:jc w:val="center"/>
        <w:rPr>
          <w:rFonts w:cs="宋体"/>
          <w:b/>
          <w:color w:val="auto"/>
          <w:sz w:val="28"/>
          <w:szCs w:val="28"/>
          <w:highlight w:val="none"/>
        </w:rPr>
      </w:pPr>
      <w:r>
        <w:rPr>
          <w:rFonts w:hint="eastAsia" w:cs="宋体"/>
          <w:b/>
          <w:color w:val="auto"/>
          <w:sz w:val="28"/>
          <w:szCs w:val="28"/>
          <w:highlight w:val="none"/>
        </w:rPr>
        <w:t>授权委托书</w:t>
      </w:r>
    </w:p>
    <w:p w14:paraId="79DCAAB1">
      <w:pPr>
        <w:adjustRightInd w:val="0"/>
        <w:snapToGrid w:val="0"/>
        <w:spacing w:line="360" w:lineRule="auto"/>
        <w:ind w:firstLine="516" w:firstLineChars="215"/>
        <w:rPr>
          <w:rFonts w:ascii="宋体" w:hAnsi="宋体" w:cs="宋体"/>
          <w:color w:val="auto"/>
          <w:sz w:val="24"/>
          <w:szCs w:val="24"/>
          <w:highlight w:val="none"/>
        </w:rPr>
      </w:pPr>
    </w:p>
    <w:p w14:paraId="6473E7FC">
      <w:pPr>
        <w:adjustRightInd w:val="0"/>
        <w:snapToGrid w:val="0"/>
        <w:spacing w:line="360" w:lineRule="auto"/>
        <w:ind w:firstLine="516" w:firstLineChars="215"/>
        <w:rPr>
          <w:rFonts w:ascii="宋体" w:hAnsi="宋体" w:cs="宋体"/>
          <w:color w:val="auto"/>
          <w:sz w:val="24"/>
          <w:szCs w:val="24"/>
          <w:highlight w:val="none"/>
        </w:rPr>
      </w:pPr>
      <w:r>
        <w:rPr>
          <w:rFonts w:hint="eastAsia" w:ascii="宋体" w:hAnsi="宋体" w:cs="宋体"/>
          <w:color w:val="auto"/>
          <w:sz w:val="24"/>
          <w:szCs w:val="24"/>
          <w:highlight w:val="none"/>
        </w:rPr>
        <w:t>本授权委托书声明：我 ___________(姓名)系_________________（供应商名称）的法定代表人，现授权委托__________________（被授权人的姓名、职务）为本次磋商中我单位的合法代理人，全权负责参加本次项目的投标、签订合约以及与之相关的各项工作。本供应商对被授权人的签名负全部责任。</w:t>
      </w:r>
    </w:p>
    <w:p w14:paraId="69FCD176">
      <w:pPr>
        <w:adjustRightInd w:val="0"/>
        <w:snapToGrid w:val="0"/>
        <w:spacing w:line="360" w:lineRule="auto"/>
        <w:ind w:firstLine="397"/>
        <w:rPr>
          <w:rFonts w:ascii="宋体" w:hAnsi="宋体" w:cs="宋体"/>
          <w:color w:val="auto"/>
          <w:sz w:val="24"/>
          <w:szCs w:val="24"/>
          <w:highlight w:val="none"/>
        </w:rPr>
      </w:pPr>
      <w:r>
        <w:rPr>
          <w:rFonts w:hint="eastAsia" w:ascii="宋体" w:hAnsi="宋体" w:cs="宋体"/>
          <w:color w:val="auto"/>
          <w:sz w:val="24"/>
          <w:szCs w:val="24"/>
          <w:highlight w:val="none"/>
        </w:rPr>
        <w:t>本授权书于__________年_______月________日签字或盖章生效，特此声明。</w:t>
      </w:r>
    </w:p>
    <w:p w14:paraId="38BEA9B0">
      <w:pPr>
        <w:adjustRightInd w:val="0"/>
        <w:snapToGrid w:val="0"/>
        <w:spacing w:line="360" w:lineRule="auto"/>
        <w:rPr>
          <w:rFonts w:ascii="宋体" w:hAnsi="宋体" w:cs="宋体"/>
          <w:color w:val="auto"/>
          <w:sz w:val="24"/>
          <w:szCs w:val="24"/>
          <w:highlight w:val="none"/>
        </w:rPr>
      </w:pPr>
    </w:p>
    <w:p w14:paraId="35577045">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法定代表人签字或盖章：                       日期：</w:t>
      </w:r>
    </w:p>
    <w:p w14:paraId="746E6505">
      <w:pPr>
        <w:spacing w:line="400" w:lineRule="exact"/>
        <w:rPr>
          <w:rFonts w:ascii="宋体" w:hAnsi="宋体" w:cs="宋体"/>
          <w:color w:val="auto"/>
          <w:szCs w:val="21"/>
          <w:highlight w:val="none"/>
        </w:rPr>
      </w:pPr>
      <w:r>
        <w:rPr>
          <w:rFonts w:hint="eastAsia" w:ascii="宋体" w:hAnsi="宋体" w:cs="宋体"/>
          <w:color w:val="auto"/>
          <w:szCs w:val="21"/>
          <w:highlight w:val="none"/>
        </w:rPr>
        <w:t>职务：                                       联系电话：</w:t>
      </w:r>
    </w:p>
    <w:p w14:paraId="0E03669B">
      <w:pPr>
        <w:spacing w:line="400" w:lineRule="exact"/>
        <w:rPr>
          <w:rFonts w:ascii="宋体" w:hAnsi="宋体" w:cs="宋体"/>
          <w:color w:val="auto"/>
          <w:szCs w:val="21"/>
          <w:highlight w:val="none"/>
        </w:rPr>
      </w:pPr>
      <w:r>
        <w:rPr>
          <w:rFonts w:hint="eastAsia" w:ascii="宋体" w:hAnsi="宋体" w:cs="宋体"/>
          <w:color w:val="auto"/>
          <w:szCs w:val="21"/>
          <w:highlight w:val="none"/>
        </w:rPr>
        <w:t>单位名称：                                   地址：</w:t>
      </w:r>
    </w:p>
    <w:p w14:paraId="7E0548F9">
      <w:pPr>
        <w:spacing w:line="400" w:lineRule="exact"/>
        <w:rPr>
          <w:rFonts w:ascii="宋体" w:hAnsi="宋体" w:cs="宋体"/>
          <w:color w:val="auto"/>
          <w:szCs w:val="21"/>
          <w:highlight w:val="none"/>
        </w:rPr>
      </w:pPr>
      <w:r>
        <w:rPr>
          <w:rFonts w:hint="eastAsia" w:ascii="宋体" w:hAnsi="宋体" w:cs="宋体"/>
          <w:color w:val="auto"/>
          <w:szCs w:val="21"/>
          <w:highlight w:val="none"/>
        </w:rPr>
        <w:t>身份证号码：</w:t>
      </w:r>
    </w:p>
    <w:p w14:paraId="2D17C861">
      <w:pPr>
        <w:spacing w:line="400" w:lineRule="exact"/>
        <w:rPr>
          <w:rFonts w:ascii="宋体" w:hAnsi="宋体" w:cs="宋体"/>
          <w:color w:val="auto"/>
          <w:szCs w:val="21"/>
          <w:highlight w:val="none"/>
        </w:rPr>
      </w:pPr>
    </w:p>
    <w:p w14:paraId="42EC7A1F">
      <w:pPr>
        <w:spacing w:line="400" w:lineRule="exact"/>
        <w:rPr>
          <w:rFonts w:ascii="宋体" w:hAnsi="宋体" w:cs="宋体"/>
          <w:color w:val="auto"/>
          <w:szCs w:val="21"/>
          <w:highlight w:val="none"/>
        </w:rPr>
      </w:pPr>
      <w:r>
        <w:rPr>
          <w:rFonts w:hint="eastAsia" w:ascii="宋体" w:hAnsi="宋体" w:cs="宋体"/>
          <w:color w:val="auto"/>
          <w:szCs w:val="21"/>
          <w:highlight w:val="none"/>
        </w:rPr>
        <w:t>委托代理人（被授权人）签字或盖章：           日期：</w:t>
      </w:r>
    </w:p>
    <w:p w14:paraId="1704FC55">
      <w:pPr>
        <w:spacing w:line="400" w:lineRule="exact"/>
        <w:rPr>
          <w:rFonts w:ascii="宋体" w:hAnsi="宋体" w:cs="宋体"/>
          <w:color w:val="auto"/>
          <w:szCs w:val="21"/>
          <w:highlight w:val="none"/>
        </w:rPr>
      </w:pPr>
      <w:r>
        <w:rPr>
          <w:rFonts w:hint="eastAsia" w:ascii="宋体" w:hAnsi="宋体" w:cs="宋体"/>
          <w:color w:val="auto"/>
          <w:szCs w:val="21"/>
          <w:highlight w:val="none"/>
        </w:rPr>
        <w:t>职务：                                       联系电话：</w:t>
      </w:r>
    </w:p>
    <w:p w14:paraId="25750A30">
      <w:pPr>
        <w:spacing w:line="400" w:lineRule="exact"/>
        <w:rPr>
          <w:rFonts w:ascii="宋体" w:hAnsi="宋体" w:cs="宋体"/>
          <w:color w:val="auto"/>
          <w:szCs w:val="21"/>
          <w:highlight w:val="none"/>
        </w:rPr>
      </w:pPr>
      <w:r>
        <w:rPr>
          <w:rFonts w:hint="eastAsia" w:ascii="宋体" w:hAnsi="宋体" w:cs="宋体"/>
          <w:color w:val="auto"/>
          <w:szCs w:val="21"/>
          <w:highlight w:val="none"/>
        </w:rPr>
        <w:t>单位名称：                                   地址：</w:t>
      </w:r>
    </w:p>
    <w:p w14:paraId="74AE7E87">
      <w:pPr>
        <w:spacing w:line="400" w:lineRule="exact"/>
        <w:rPr>
          <w:rFonts w:ascii="宋体" w:hAnsi="宋体" w:cs="宋体"/>
          <w:color w:val="auto"/>
          <w:szCs w:val="21"/>
          <w:highlight w:val="none"/>
        </w:rPr>
      </w:pPr>
      <w:r>
        <w:rPr>
          <w:rFonts w:hint="eastAsia" w:ascii="宋体" w:hAnsi="宋体" w:cs="宋体"/>
          <w:color w:val="auto"/>
          <w:szCs w:val="21"/>
          <w:highlight w:val="none"/>
        </w:rPr>
        <w:t>身份证号码：</w:t>
      </w:r>
    </w:p>
    <w:p w14:paraId="5A820B98">
      <w:pPr>
        <w:spacing w:line="400" w:lineRule="exact"/>
        <w:rPr>
          <w:rFonts w:ascii="宋体" w:hAnsi="宋体" w:cs="宋体"/>
          <w:color w:val="auto"/>
          <w:szCs w:val="21"/>
          <w:highlight w:val="none"/>
        </w:rPr>
      </w:pPr>
    </w:p>
    <w:p w14:paraId="5FB3FAA4">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供应商公章： </w:t>
      </w:r>
    </w:p>
    <w:p w14:paraId="17A53A95">
      <w:pPr>
        <w:spacing w:line="400" w:lineRule="exact"/>
        <w:rPr>
          <w:rFonts w:ascii="宋体" w:hAnsi="宋体" w:cs="宋体"/>
          <w:color w:val="auto"/>
          <w:szCs w:val="21"/>
          <w:highlight w:val="none"/>
        </w:rPr>
      </w:pPr>
      <w:r>
        <w:rPr>
          <w:rFonts w:hint="eastAsia" w:ascii="宋体" w:hAnsi="宋体" w:cs="宋体"/>
          <w:color w:val="auto"/>
          <w:szCs w:val="21"/>
          <w:highlight w:val="none"/>
        </w:rPr>
        <w:t>地址：                                       电话：</w:t>
      </w:r>
    </w:p>
    <w:p w14:paraId="14EBE04A">
      <w:pPr>
        <w:spacing w:line="400" w:lineRule="exact"/>
        <w:rPr>
          <w:rFonts w:ascii="宋体" w:hAnsi="宋体" w:cs="宋体"/>
          <w:color w:val="auto"/>
          <w:szCs w:val="21"/>
          <w:highlight w:val="none"/>
        </w:rPr>
      </w:pPr>
      <w:r>
        <w:rPr>
          <w:rFonts w:hint="eastAsia" w:ascii="宋体" w:hAnsi="宋体" w:cs="宋体"/>
          <w:color w:val="auto"/>
          <w:szCs w:val="21"/>
          <w:highlight w:val="none"/>
        </w:rPr>
        <w:t>传真：                                       邮编：</w:t>
      </w:r>
    </w:p>
    <w:p w14:paraId="3DDF11D3">
      <w:pPr>
        <w:spacing w:line="400" w:lineRule="exact"/>
        <w:rPr>
          <w:rFonts w:ascii="宋体" w:hAnsi="宋体" w:cs="宋体"/>
          <w:color w:val="auto"/>
          <w:szCs w:val="21"/>
          <w:highlight w:val="none"/>
        </w:rPr>
      </w:pPr>
      <w:r>
        <w:rPr>
          <w:rFonts w:hint="eastAsia" w:ascii="宋体" w:hAnsi="宋体" w:cs="宋体"/>
          <w:color w:val="auto"/>
          <w:szCs w:val="21"/>
          <w:highlight w:val="none"/>
        </w:rPr>
        <w:t>开户行：</w:t>
      </w:r>
    </w:p>
    <w:p w14:paraId="48DBE14C">
      <w:pPr>
        <w:spacing w:line="400" w:lineRule="exact"/>
        <w:rPr>
          <w:rFonts w:ascii="宋体" w:hAnsi="宋体" w:cs="宋体"/>
          <w:color w:val="auto"/>
          <w:szCs w:val="21"/>
          <w:highlight w:val="none"/>
        </w:rPr>
      </w:pPr>
      <w:r>
        <w:rPr>
          <w:rFonts w:hint="eastAsia" w:ascii="宋体" w:hAnsi="宋体" w:cs="宋体"/>
          <w:color w:val="auto"/>
          <w:szCs w:val="21"/>
          <w:highlight w:val="none"/>
        </w:rPr>
        <w:t>账号：</w:t>
      </w:r>
    </w:p>
    <w:p w14:paraId="3B4199A0">
      <w:pPr>
        <w:spacing w:line="400" w:lineRule="exact"/>
        <w:rPr>
          <w:rFonts w:ascii="宋体" w:hAnsi="宋体" w:cs="宋体"/>
          <w:color w:val="auto"/>
          <w:szCs w:val="21"/>
          <w:highlight w:val="none"/>
        </w:rPr>
      </w:pPr>
    </w:p>
    <w:p w14:paraId="4D79C13C">
      <w:pPr>
        <w:spacing w:line="400" w:lineRule="exact"/>
        <w:rPr>
          <w:rFonts w:ascii="宋体" w:hAnsi="宋体" w:cs="宋体"/>
          <w:color w:val="auto"/>
          <w:szCs w:val="21"/>
          <w:highlight w:val="none"/>
        </w:rPr>
      </w:pPr>
      <w:r>
        <w:rPr>
          <w:rFonts w:hint="eastAsia" w:ascii="宋体" w:hAnsi="宋体" w:cs="宋体"/>
          <w:color w:val="auto"/>
          <w:szCs w:val="21"/>
          <w:highlight w:val="none"/>
        </w:rPr>
        <w:t>代理人身份证</w:t>
      </w:r>
    </w:p>
    <w:p w14:paraId="522B1509">
      <w:pPr>
        <w:spacing w:line="360" w:lineRule="auto"/>
        <w:rPr>
          <w:rFonts w:ascii="宋体" w:hAnsi="宋体" w:cs="宋体"/>
          <w:color w:val="auto"/>
          <w:sz w:val="24"/>
          <w:szCs w:val="24"/>
          <w:highlight w:val="none"/>
        </w:rPr>
      </w:pPr>
      <w:r>
        <w:rPr>
          <w:rFonts w:hint="eastAsia" w:ascii="宋体" w:hAnsi="宋体" w:cs="宋体"/>
          <w:color w:val="auto"/>
          <w:szCs w:val="21"/>
          <w:highlight w:val="none"/>
        </w:rPr>
        <w:t>（双面复印件）粘贴处</w:t>
      </w:r>
    </w:p>
    <w:p w14:paraId="27B0EC7C">
      <w:pPr>
        <w:spacing w:line="360" w:lineRule="auto"/>
        <w:rPr>
          <w:rFonts w:ascii="宋体" w:hAnsi="宋体" w:cs="宋体"/>
          <w:color w:val="auto"/>
          <w:sz w:val="24"/>
          <w:szCs w:val="24"/>
          <w:highlight w:val="none"/>
        </w:rPr>
      </w:pPr>
    </w:p>
    <w:p w14:paraId="4D653D53">
      <w:pPr>
        <w:spacing w:line="360" w:lineRule="auto"/>
        <w:rPr>
          <w:rFonts w:ascii="宋体" w:hAnsi="宋体" w:cs="宋体"/>
          <w:color w:val="auto"/>
          <w:szCs w:val="21"/>
          <w:highlight w:val="none"/>
        </w:rPr>
      </w:pPr>
    </w:p>
    <w:p w14:paraId="113D0C11">
      <w:pPr>
        <w:rPr>
          <w:rFonts w:hint="eastAsia"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br w:type="page"/>
      </w:r>
    </w:p>
    <w:p w14:paraId="7B44ECE3">
      <w:pPr>
        <w:pStyle w:val="2"/>
        <w:jc w:val="left"/>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5.报价一览表</w:t>
      </w:r>
    </w:p>
    <w:p w14:paraId="1DEF9265">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报价一览表</w:t>
      </w:r>
    </w:p>
    <w:p w14:paraId="0DE741D7">
      <w:pPr>
        <w:spacing w:line="500" w:lineRule="exact"/>
        <w:rPr>
          <w:rFonts w:ascii="宋体" w:hAnsi="宋体" w:cs="宋体"/>
          <w:b/>
          <w:color w:val="auto"/>
          <w:kern w:val="0"/>
          <w:szCs w:val="21"/>
          <w:highlight w:val="none"/>
        </w:rPr>
      </w:pPr>
      <w:r>
        <w:rPr>
          <w:rFonts w:hint="eastAsia" w:ascii="宋体" w:hAnsi="宋体" w:cs="宋体"/>
          <w:b/>
          <w:color w:val="auto"/>
          <w:kern w:val="0"/>
          <w:sz w:val="24"/>
          <w:szCs w:val="24"/>
          <w:highlight w:val="none"/>
        </w:rPr>
        <w:t xml:space="preserve">                                         </w:t>
      </w:r>
      <w:r>
        <w:rPr>
          <w:rFonts w:hint="eastAsia" w:ascii="宋体" w:hAnsi="宋体" w:cs="宋体"/>
          <w:b/>
          <w:color w:val="auto"/>
          <w:kern w:val="0"/>
          <w:szCs w:val="21"/>
          <w:highlight w:val="none"/>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5A28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78B0F977">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662" w:type="dxa"/>
          </w:tcPr>
          <w:p w14:paraId="4CC464A0">
            <w:pPr>
              <w:widowControl/>
              <w:jc w:val="left"/>
              <w:rPr>
                <w:rFonts w:ascii="宋体" w:hAnsi="宋体" w:cs="宋体"/>
                <w:color w:val="auto"/>
                <w:szCs w:val="21"/>
                <w:highlight w:val="none"/>
              </w:rPr>
            </w:pPr>
          </w:p>
        </w:tc>
      </w:tr>
      <w:tr w14:paraId="29D4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6D39DF70">
            <w:pPr>
              <w:jc w:val="center"/>
              <w:rPr>
                <w:rFonts w:ascii="宋体" w:hAnsi="宋体" w:cs="宋体"/>
                <w:color w:val="auto"/>
                <w:szCs w:val="21"/>
                <w:highlight w:val="none"/>
              </w:rPr>
            </w:pPr>
            <w:r>
              <w:rPr>
                <w:rFonts w:hint="eastAsia" w:ascii="宋体" w:hAnsi="宋体" w:cs="宋体"/>
                <w:color w:val="auto"/>
                <w:szCs w:val="21"/>
                <w:highlight w:val="none"/>
              </w:rPr>
              <w:t>项目编号</w:t>
            </w:r>
          </w:p>
        </w:tc>
        <w:tc>
          <w:tcPr>
            <w:tcW w:w="6662" w:type="dxa"/>
          </w:tcPr>
          <w:p w14:paraId="1215D4C1">
            <w:pPr>
              <w:widowControl/>
              <w:jc w:val="left"/>
              <w:rPr>
                <w:rFonts w:ascii="宋体" w:hAnsi="宋体" w:cs="宋体"/>
                <w:color w:val="auto"/>
                <w:szCs w:val="21"/>
                <w:highlight w:val="none"/>
              </w:rPr>
            </w:pPr>
          </w:p>
        </w:tc>
      </w:tr>
      <w:tr w14:paraId="2E90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35FEC7A1">
            <w:pPr>
              <w:jc w:val="center"/>
              <w:rPr>
                <w:rFonts w:ascii="宋体" w:hAnsi="宋体" w:cs="宋体"/>
                <w:color w:val="auto"/>
                <w:szCs w:val="21"/>
                <w:highlight w:val="none"/>
              </w:rPr>
            </w:pPr>
            <w:r>
              <w:rPr>
                <w:rFonts w:hint="eastAsia" w:ascii="宋体" w:hAnsi="宋体" w:cs="宋体"/>
                <w:color w:val="auto"/>
                <w:szCs w:val="21"/>
                <w:highlight w:val="none"/>
              </w:rPr>
              <w:t>磋商总价</w:t>
            </w:r>
          </w:p>
        </w:tc>
        <w:tc>
          <w:tcPr>
            <w:tcW w:w="6662" w:type="dxa"/>
          </w:tcPr>
          <w:p w14:paraId="373E1B8D">
            <w:pPr>
              <w:widowControl/>
              <w:jc w:val="center"/>
              <w:rPr>
                <w:rFonts w:ascii="宋体" w:hAnsi="宋体" w:cs="宋体"/>
                <w:color w:val="auto"/>
                <w:szCs w:val="21"/>
                <w:highlight w:val="none"/>
              </w:rPr>
            </w:pPr>
          </w:p>
        </w:tc>
      </w:tr>
      <w:tr w14:paraId="1BA1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54A55B3A">
            <w:pPr>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6662" w:type="dxa"/>
            <w:vAlign w:val="center"/>
          </w:tcPr>
          <w:p w14:paraId="2CE90F40">
            <w:pPr>
              <w:widowControl/>
              <w:jc w:val="center"/>
              <w:rPr>
                <w:rFonts w:ascii="宋体" w:hAnsi="宋体" w:cs="宋体"/>
                <w:color w:val="auto"/>
                <w:szCs w:val="21"/>
                <w:highlight w:val="none"/>
              </w:rPr>
            </w:pPr>
          </w:p>
        </w:tc>
      </w:tr>
    </w:tbl>
    <w:p w14:paraId="48F8DEFA">
      <w:pPr>
        <w:spacing w:line="360" w:lineRule="exact"/>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rPr>
        <w:t>名称（公章）：</w:t>
      </w:r>
    </w:p>
    <w:p w14:paraId="632AA793">
      <w:pPr>
        <w:spacing w:line="360" w:lineRule="exact"/>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2753B11A">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4EA18D87">
      <w:pPr>
        <w:widowControl/>
        <w:jc w:val="left"/>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43ABDDF5">
      <w:pPr>
        <w:pStyle w:val="2"/>
        <w:jc w:val="left"/>
        <w:rPr>
          <w:rFonts w:hint="eastAsia"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6.偏离表</w:t>
      </w:r>
    </w:p>
    <w:p w14:paraId="1A7A55FC">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偏 离 表</w:t>
      </w:r>
    </w:p>
    <w:p w14:paraId="320C5C11">
      <w:pPr>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供应商应对磋商文件中规定的商务及技术部分给予充分的考虑。为了评审的需要，供应商应将这些条款的异议逐条提出或根据以下要求的格式提出偏离。</w:t>
      </w:r>
    </w:p>
    <w:p w14:paraId="3EB304CB">
      <w:pPr>
        <w:ind w:firstLine="420" w:firstLineChars="200"/>
        <w:rPr>
          <w:rFonts w:ascii="宋体" w:hAnsi="宋体" w:cs="宋体"/>
          <w:color w:val="auto"/>
          <w:szCs w:val="21"/>
          <w:highlight w:val="none"/>
        </w:rPr>
      </w:pPr>
      <w:r>
        <w:rPr>
          <w:rFonts w:hint="eastAsia" w:ascii="宋体" w:hAnsi="宋体" w:cs="宋体"/>
          <w:color w:val="auto"/>
          <w:szCs w:val="21"/>
          <w:highlight w:val="none"/>
        </w:rPr>
        <w:t>如无偏离，请在本页上写“无”，并附在磋商响应文件中。</w:t>
      </w:r>
    </w:p>
    <w:p w14:paraId="730D2AE2">
      <w:pPr>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554C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65465959">
            <w:pPr>
              <w:jc w:val="center"/>
              <w:rPr>
                <w:rFonts w:ascii="宋体" w:hAnsi="宋体" w:cs="宋体"/>
                <w:color w:val="auto"/>
                <w:szCs w:val="21"/>
                <w:highlight w:val="none"/>
              </w:rPr>
            </w:pPr>
            <w:r>
              <w:rPr>
                <w:rFonts w:hint="eastAsia" w:ascii="宋体" w:hAnsi="宋体" w:cs="宋体"/>
                <w:color w:val="auto"/>
                <w:szCs w:val="21"/>
                <w:highlight w:val="none"/>
              </w:rPr>
              <w:t>章节号</w:t>
            </w:r>
          </w:p>
        </w:tc>
        <w:tc>
          <w:tcPr>
            <w:tcW w:w="2132" w:type="dxa"/>
            <w:vAlign w:val="center"/>
          </w:tcPr>
          <w:p w14:paraId="3FB90366">
            <w:pPr>
              <w:jc w:val="center"/>
              <w:rPr>
                <w:rFonts w:ascii="宋体" w:hAnsi="宋体" w:cs="宋体"/>
                <w:color w:val="auto"/>
                <w:szCs w:val="21"/>
                <w:highlight w:val="none"/>
              </w:rPr>
            </w:pPr>
            <w:r>
              <w:rPr>
                <w:rFonts w:hint="eastAsia" w:ascii="宋体" w:hAnsi="宋体" w:cs="宋体"/>
                <w:color w:val="auto"/>
                <w:szCs w:val="21"/>
                <w:highlight w:val="none"/>
              </w:rPr>
              <w:t>供应商的偏离</w:t>
            </w:r>
          </w:p>
        </w:tc>
        <w:tc>
          <w:tcPr>
            <w:tcW w:w="3044" w:type="dxa"/>
            <w:vAlign w:val="center"/>
          </w:tcPr>
          <w:p w14:paraId="5FF29571">
            <w:pPr>
              <w:jc w:val="center"/>
              <w:rPr>
                <w:rFonts w:ascii="宋体" w:hAnsi="宋体" w:cs="宋体"/>
                <w:color w:val="auto"/>
                <w:szCs w:val="21"/>
                <w:highlight w:val="none"/>
              </w:rPr>
            </w:pPr>
            <w:r>
              <w:rPr>
                <w:rFonts w:hint="eastAsia" w:ascii="宋体" w:hAnsi="宋体" w:cs="宋体"/>
                <w:color w:val="auto"/>
                <w:szCs w:val="21"/>
                <w:highlight w:val="none"/>
              </w:rPr>
              <w:t>供应商偏离的理由</w:t>
            </w:r>
          </w:p>
        </w:tc>
        <w:tc>
          <w:tcPr>
            <w:tcW w:w="1440" w:type="dxa"/>
            <w:vAlign w:val="center"/>
          </w:tcPr>
          <w:p w14:paraId="6296190B">
            <w:pPr>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2226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0ED33FE">
            <w:pPr>
              <w:rPr>
                <w:rFonts w:ascii="宋体" w:hAnsi="宋体" w:cs="宋体"/>
                <w:color w:val="auto"/>
                <w:szCs w:val="21"/>
                <w:highlight w:val="none"/>
              </w:rPr>
            </w:pPr>
          </w:p>
        </w:tc>
        <w:tc>
          <w:tcPr>
            <w:tcW w:w="2132" w:type="dxa"/>
          </w:tcPr>
          <w:p w14:paraId="0928E162">
            <w:pPr>
              <w:rPr>
                <w:rFonts w:ascii="宋体" w:hAnsi="宋体" w:cs="宋体"/>
                <w:color w:val="auto"/>
                <w:szCs w:val="21"/>
                <w:highlight w:val="none"/>
              </w:rPr>
            </w:pPr>
          </w:p>
        </w:tc>
        <w:tc>
          <w:tcPr>
            <w:tcW w:w="3044" w:type="dxa"/>
          </w:tcPr>
          <w:p w14:paraId="647792EF">
            <w:pPr>
              <w:rPr>
                <w:rFonts w:ascii="宋体" w:hAnsi="宋体" w:cs="宋体"/>
                <w:color w:val="auto"/>
                <w:szCs w:val="21"/>
                <w:highlight w:val="none"/>
              </w:rPr>
            </w:pPr>
          </w:p>
        </w:tc>
        <w:tc>
          <w:tcPr>
            <w:tcW w:w="1440" w:type="dxa"/>
          </w:tcPr>
          <w:p w14:paraId="571A4E18">
            <w:pPr>
              <w:rPr>
                <w:rFonts w:ascii="宋体" w:hAnsi="宋体" w:cs="宋体"/>
                <w:color w:val="auto"/>
                <w:szCs w:val="21"/>
                <w:highlight w:val="none"/>
              </w:rPr>
            </w:pPr>
          </w:p>
        </w:tc>
      </w:tr>
      <w:tr w14:paraId="224E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D4476DC">
            <w:pPr>
              <w:rPr>
                <w:rFonts w:ascii="宋体" w:hAnsi="宋体" w:cs="宋体"/>
                <w:color w:val="auto"/>
                <w:szCs w:val="21"/>
                <w:highlight w:val="none"/>
              </w:rPr>
            </w:pPr>
          </w:p>
        </w:tc>
        <w:tc>
          <w:tcPr>
            <w:tcW w:w="2132" w:type="dxa"/>
          </w:tcPr>
          <w:p w14:paraId="7A895A81">
            <w:pPr>
              <w:rPr>
                <w:rFonts w:ascii="宋体" w:hAnsi="宋体" w:cs="宋体"/>
                <w:color w:val="auto"/>
                <w:szCs w:val="21"/>
                <w:highlight w:val="none"/>
              </w:rPr>
            </w:pPr>
          </w:p>
        </w:tc>
        <w:tc>
          <w:tcPr>
            <w:tcW w:w="3044" w:type="dxa"/>
          </w:tcPr>
          <w:p w14:paraId="285BBAC4">
            <w:pPr>
              <w:rPr>
                <w:rFonts w:ascii="宋体" w:hAnsi="宋体" w:cs="宋体"/>
                <w:color w:val="auto"/>
                <w:szCs w:val="21"/>
                <w:highlight w:val="none"/>
              </w:rPr>
            </w:pPr>
          </w:p>
        </w:tc>
        <w:tc>
          <w:tcPr>
            <w:tcW w:w="1440" w:type="dxa"/>
          </w:tcPr>
          <w:p w14:paraId="16365E98">
            <w:pPr>
              <w:rPr>
                <w:rFonts w:ascii="宋体" w:hAnsi="宋体" w:cs="宋体"/>
                <w:color w:val="auto"/>
                <w:szCs w:val="21"/>
                <w:highlight w:val="none"/>
              </w:rPr>
            </w:pPr>
          </w:p>
        </w:tc>
      </w:tr>
      <w:tr w14:paraId="1A5D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461BF577">
            <w:pPr>
              <w:rPr>
                <w:rFonts w:ascii="宋体" w:hAnsi="宋体" w:cs="宋体"/>
                <w:color w:val="auto"/>
                <w:szCs w:val="21"/>
                <w:highlight w:val="none"/>
              </w:rPr>
            </w:pPr>
          </w:p>
        </w:tc>
        <w:tc>
          <w:tcPr>
            <w:tcW w:w="2132" w:type="dxa"/>
          </w:tcPr>
          <w:p w14:paraId="5C7A34CE">
            <w:pPr>
              <w:rPr>
                <w:rFonts w:ascii="宋体" w:hAnsi="宋体" w:cs="宋体"/>
                <w:color w:val="auto"/>
                <w:szCs w:val="21"/>
                <w:highlight w:val="none"/>
              </w:rPr>
            </w:pPr>
          </w:p>
        </w:tc>
        <w:tc>
          <w:tcPr>
            <w:tcW w:w="3044" w:type="dxa"/>
          </w:tcPr>
          <w:p w14:paraId="4409DEB2">
            <w:pPr>
              <w:rPr>
                <w:rFonts w:ascii="宋体" w:hAnsi="宋体" w:cs="宋体"/>
                <w:color w:val="auto"/>
                <w:szCs w:val="21"/>
                <w:highlight w:val="none"/>
              </w:rPr>
            </w:pPr>
          </w:p>
        </w:tc>
        <w:tc>
          <w:tcPr>
            <w:tcW w:w="1440" w:type="dxa"/>
          </w:tcPr>
          <w:p w14:paraId="30D675C3">
            <w:pPr>
              <w:rPr>
                <w:rFonts w:ascii="宋体" w:hAnsi="宋体" w:cs="宋体"/>
                <w:color w:val="auto"/>
                <w:szCs w:val="21"/>
                <w:highlight w:val="none"/>
              </w:rPr>
            </w:pPr>
          </w:p>
        </w:tc>
      </w:tr>
    </w:tbl>
    <w:p w14:paraId="77A48CD8">
      <w:pPr>
        <w:spacing w:line="360" w:lineRule="exact"/>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rPr>
        <w:t>名称（公章）：</w:t>
      </w:r>
    </w:p>
    <w:p w14:paraId="369A4F43">
      <w:pPr>
        <w:spacing w:line="360" w:lineRule="exact"/>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062C13E2">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09A63FD1">
      <w:pPr>
        <w:pStyle w:val="5"/>
        <w:overflowPunct w:val="0"/>
        <w:spacing w:line="500" w:lineRule="exact"/>
        <w:ind w:firstLine="0"/>
        <w:rPr>
          <w:rFonts w:hAnsi="宋体" w:cs="宋体"/>
          <w:b/>
          <w:color w:val="auto"/>
          <w:sz w:val="28"/>
          <w:szCs w:val="28"/>
          <w:highlight w:val="none"/>
        </w:rPr>
      </w:pPr>
    </w:p>
    <w:p w14:paraId="391FCB22">
      <w:pPr>
        <w:pStyle w:val="5"/>
        <w:overflowPunct w:val="0"/>
        <w:spacing w:line="500" w:lineRule="exact"/>
        <w:ind w:firstLine="0"/>
        <w:rPr>
          <w:rFonts w:hAnsi="宋体" w:cs="宋体"/>
          <w:b/>
          <w:color w:val="auto"/>
          <w:sz w:val="28"/>
          <w:szCs w:val="28"/>
          <w:highlight w:val="none"/>
        </w:rPr>
      </w:pPr>
    </w:p>
    <w:p w14:paraId="1C46308D">
      <w:pPr>
        <w:pStyle w:val="2"/>
        <w:jc w:val="left"/>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8.服务承诺书</w:t>
      </w:r>
    </w:p>
    <w:p w14:paraId="38F6FCE1">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服务承诺书</w:t>
      </w:r>
    </w:p>
    <w:p w14:paraId="145C1052">
      <w:pPr>
        <w:spacing w:line="360" w:lineRule="auto"/>
        <w:rPr>
          <w:rFonts w:ascii="宋体" w:hAnsi="宋体" w:cs="宋体"/>
          <w:color w:val="auto"/>
          <w:sz w:val="24"/>
          <w:szCs w:val="24"/>
          <w:highlight w:val="none"/>
        </w:rPr>
      </w:pPr>
    </w:p>
    <w:p w14:paraId="21E8046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服务承诺如下：</w:t>
      </w:r>
    </w:p>
    <w:p w14:paraId="6A3F5A19">
      <w:pPr>
        <w:spacing w:line="360" w:lineRule="auto"/>
        <w:rPr>
          <w:rFonts w:ascii="宋体" w:hAnsi="宋体" w:cs="宋体"/>
          <w:color w:val="auto"/>
          <w:sz w:val="24"/>
          <w:szCs w:val="24"/>
          <w:highlight w:val="none"/>
        </w:rPr>
      </w:pPr>
    </w:p>
    <w:p w14:paraId="76328DB9">
      <w:pPr>
        <w:spacing w:line="360" w:lineRule="auto"/>
        <w:rPr>
          <w:rFonts w:ascii="宋体" w:hAnsi="宋体" w:cs="宋体"/>
          <w:color w:val="auto"/>
          <w:sz w:val="24"/>
          <w:szCs w:val="24"/>
          <w:highlight w:val="none"/>
        </w:rPr>
      </w:pPr>
    </w:p>
    <w:p w14:paraId="64F1DF34">
      <w:pPr>
        <w:spacing w:line="360" w:lineRule="auto"/>
        <w:rPr>
          <w:rFonts w:ascii="宋体" w:hAnsi="宋体" w:cs="宋体"/>
          <w:color w:val="auto"/>
          <w:sz w:val="24"/>
          <w:szCs w:val="24"/>
          <w:highlight w:val="none"/>
        </w:rPr>
      </w:pPr>
    </w:p>
    <w:p w14:paraId="6E4BC441">
      <w:pPr>
        <w:spacing w:line="360" w:lineRule="exact"/>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rPr>
        <w:t>名称（公章）：</w:t>
      </w:r>
    </w:p>
    <w:p w14:paraId="54E356C7">
      <w:pPr>
        <w:spacing w:line="360" w:lineRule="exact"/>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7B6A7D22">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0B5E9A25">
      <w:pPr>
        <w:rPr>
          <w:rFonts w:ascii="宋体" w:hAnsi="宋体" w:cs="宋体"/>
          <w:color w:val="auto"/>
          <w:sz w:val="24"/>
          <w:szCs w:val="24"/>
          <w:highlight w:val="none"/>
        </w:rPr>
      </w:pPr>
    </w:p>
    <w:p w14:paraId="6F588216">
      <w:pPr>
        <w:jc w:val="center"/>
        <w:rPr>
          <w:rFonts w:hint="eastAsia" w:ascii="宋体" w:hAnsi="宋体" w:cs="宋体"/>
          <w:bCs/>
          <w:color w:val="auto"/>
          <w:szCs w:val="21"/>
          <w:highlight w:val="none"/>
        </w:rPr>
      </w:pPr>
    </w:p>
    <w:p w14:paraId="08D9CFBA">
      <w:pPr>
        <w:jc w:val="center"/>
        <w:rPr>
          <w:rFonts w:hint="eastAsia" w:ascii="宋体" w:hAnsi="宋体" w:cs="宋体"/>
          <w:bCs/>
          <w:color w:val="auto"/>
          <w:szCs w:val="21"/>
          <w:highlight w:val="none"/>
        </w:rPr>
      </w:pPr>
    </w:p>
    <w:p w14:paraId="0C7AD053">
      <w:pPr>
        <w:jc w:val="center"/>
        <w:rPr>
          <w:rFonts w:ascii="宋体" w:hAnsi="宋体" w:cs="宋体"/>
          <w:bCs/>
          <w:color w:val="auto"/>
          <w:szCs w:val="21"/>
          <w:highlight w:val="none"/>
        </w:rPr>
      </w:pPr>
      <w:r>
        <w:rPr>
          <w:rFonts w:hint="eastAsia" w:ascii="宋体" w:hAnsi="宋体" w:cs="宋体"/>
          <w:bCs/>
          <w:color w:val="auto"/>
          <w:szCs w:val="21"/>
          <w:highlight w:val="none"/>
        </w:rPr>
        <w:t>本磋商文件的最终解释权归常州市城投建设工程招标有限公司所有。</w:t>
      </w:r>
    </w:p>
    <w:p w14:paraId="2028DC8E">
      <w:pPr>
        <w:widowControl/>
        <w:spacing w:line="360" w:lineRule="atLeast"/>
        <w:jc w:val="center"/>
        <w:rPr>
          <w:rFonts w:ascii="宋体" w:hAnsi="宋体" w:cs="宋体"/>
          <w:color w:val="auto"/>
          <w:highlight w:val="none"/>
        </w:rPr>
      </w:pPr>
      <w:r>
        <w:rPr>
          <w:rFonts w:hint="eastAsia" w:ascii="宋体" w:hAnsi="宋体" w:cs="宋体"/>
          <w:b/>
          <w:color w:val="auto"/>
          <w:sz w:val="32"/>
          <w:highlight w:val="none"/>
        </w:rPr>
        <w:t>（全文完）</w:t>
      </w:r>
    </w:p>
    <w:sectPr>
      <w:headerReference r:id="rId11" w:type="first"/>
      <w:headerReference r:id="rId10" w:type="even"/>
      <w:footerReference r:id="rId12"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47E9E">
    <w:pPr>
      <w:pStyle w:val="15"/>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12</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39804">
    <w:pPr>
      <w:pStyle w:val="15"/>
      <w:framePr w:wrap="around" w:vAnchor="text" w:hAnchor="margin" w:xAlign="outside" w:y="1"/>
      <w:rPr>
        <w:rStyle w:val="52"/>
      </w:rPr>
    </w:pPr>
    <w:r>
      <w:fldChar w:fldCharType="begin"/>
    </w:r>
    <w:r>
      <w:rPr>
        <w:rStyle w:val="52"/>
      </w:rPr>
      <w:instrText xml:space="preserve">PAGE  </w:instrText>
    </w:r>
    <w:r>
      <w:fldChar w:fldCharType="end"/>
    </w:r>
  </w:p>
  <w:p w14:paraId="0A0C0CC4">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3CCC">
    <w:pPr>
      <w:pStyle w:val="15"/>
      <w:framePr w:wrap="around" w:vAnchor="text" w:hAnchor="margin" w:xAlign="outside" w:y="1"/>
      <w:rPr>
        <w:rStyle w:val="52"/>
      </w:rPr>
    </w:pPr>
    <w:r>
      <w:fldChar w:fldCharType="begin"/>
    </w:r>
    <w:r>
      <w:rPr>
        <w:rStyle w:val="52"/>
      </w:rPr>
      <w:instrText xml:space="preserve">PAGE  </w:instrText>
    </w:r>
    <w:r>
      <w:fldChar w:fldCharType="end"/>
    </w:r>
  </w:p>
  <w:p w14:paraId="47B50CBA">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890A">
    <w:pPr>
      <w:pStyle w:val="16"/>
      <w:tabs>
        <w:tab w:val="right" w:pos="8306"/>
        <w:tab w:val="clear" w:pos="8307"/>
      </w:tabs>
      <w:jc w:val="right"/>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竞争性磋商</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5849D">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265F">
    <w:pPr>
      <w:pStyle w:val="1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04026">
    <w:pPr>
      <w:pStyle w:val="16"/>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C6C9E">
    <w:pPr>
      <w:pStyle w:val="16"/>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4454">
    <w:pPr>
      <w:pStyle w:val="16"/>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FBC6">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241260"/>
    <w:multiLevelType w:val="multilevel"/>
    <w:tmpl w:val="5C241260"/>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0087D"/>
    <w:rsid w:val="000062CC"/>
    <w:rsid w:val="0000798A"/>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3F2D"/>
    <w:rsid w:val="00052763"/>
    <w:rsid w:val="0005295F"/>
    <w:rsid w:val="00052D7C"/>
    <w:rsid w:val="000530A2"/>
    <w:rsid w:val="00054DD8"/>
    <w:rsid w:val="0005783A"/>
    <w:rsid w:val="0006059F"/>
    <w:rsid w:val="00060771"/>
    <w:rsid w:val="00061F14"/>
    <w:rsid w:val="00074403"/>
    <w:rsid w:val="00074642"/>
    <w:rsid w:val="00074A8C"/>
    <w:rsid w:val="000762A6"/>
    <w:rsid w:val="000773BD"/>
    <w:rsid w:val="00080D25"/>
    <w:rsid w:val="0008162C"/>
    <w:rsid w:val="00082FBD"/>
    <w:rsid w:val="00084262"/>
    <w:rsid w:val="00086B32"/>
    <w:rsid w:val="0008775F"/>
    <w:rsid w:val="00091073"/>
    <w:rsid w:val="00094183"/>
    <w:rsid w:val="00094B97"/>
    <w:rsid w:val="00096808"/>
    <w:rsid w:val="000A2CB2"/>
    <w:rsid w:val="000A46C6"/>
    <w:rsid w:val="000B4D5F"/>
    <w:rsid w:val="000C3581"/>
    <w:rsid w:val="000C649D"/>
    <w:rsid w:val="000D25CF"/>
    <w:rsid w:val="000D3694"/>
    <w:rsid w:val="000D3930"/>
    <w:rsid w:val="000D7DF9"/>
    <w:rsid w:val="000E43AC"/>
    <w:rsid w:val="000E5F5A"/>
    <w:rsid w:val="000F1F44"/>
    <w:rsid w:val="000F5B78"/>
    <w:rsid w:val="000F75F5"/>
    <w:rsid w:val="00101B0F"/>
    <w:rsid w:val="00102F06"/>
    <w:rsid w:val="00103D1A"/>
    <w:rsid w:val="0011051D"/>
    <w:rsid w:val="00110C86"/>
    <w:rsid w:val="00111BE9"/>
    <w:rsid w:val="001132EE"/>
    <w:rsid w:val="00113BC7"/>
    <w:rsid w:val="00121D1D"/>
    <w:rsid w:val="00125EDF"/>
    <w:rsid w:val="001260CA"/>
    <w:rsid w:val="001306E3"/>
    <w:rsid w:val="0014220C"/>
    <w:rsid w:val="00142315"/>
    <w:rsid w:val="001545E8"/>
    <w:rsid w:val="00154E35"/>
    <w:rsid w:val="00155A44"/>
    <w:rsid w:val="00166978"/>
    <w:rsid w:val="001673E7"/>
    <w:rsid w:val="00167974"/>
    <w:rsid w:val="00167E08"/>
    <w:rsid w:val="001718A3"/>
    <w:rsid w:val="00171A88"/>
    <w:rsid w:val="00172903"/>
    <w:rsid w:val="00172EAC"/>
    <w:rsid w:val="0017352F"/>
    <w:rsid w:val="00177792"/>
    <w:rsid w:val="00177845"/>
    <w:rsid w:val="00182F4F"/>
    <w:rsid w:val="001842F4"/>
    <w:rsid w:val="00193673"/>
    <w:rsid w:val="00197043"/>
    <w:rsid w:val="00197081"/>
    <w:rsid w:val="001A0A97"/>
    <w:rsid w:val="001A280E"/>
    <w:rsid w:val="001B14C8"/>
    <w:rsid w:val="001B19F7"/>
    <w:rsid w:val="001C399C"/>
    <w:rsid w:val="001C3A68"/>
    <w:rsid w:val="001C764D"/>
    <w:rsid w:val="001D1055"/>
    <w:rsid w:val="001D450E"/>
    <w:rsid w:val="001D7A92"/>
    <w:rsid w:val="001D7DD3"/>
    <w:rsid w:val="001E0EEA"/>
    <w:rsid w:val="001E2FEF"/>
    <w:rsid w:val="001E391E"/>
    <w:rsid w:val="001E47DC"/>
    <w:rsid w:val="001F14FA"/>
    <w:rsid w:val="001F1C79"/>
    <w:rsid w:val="001F29A4"/>
    <w:rsid w:val="001F6B74"/>
    <w:rsid w:val="002023D2"/>
    <w:rsid w:val="00202527"/>
    <w:rsid w:val="002072DF"/>
    <w:rsid w:val="00207EB6"/>
    <w:rsid w:val="0022129E"/>
    <w:rsid w:val="00232AF7"/>
    <w:rsid w:val="0023309A"/>
    <w:rsid w:val="002368E4"/>
    <w:rsid w:val="00247710"/>
    <w:rsid w:val="00261A56"/>
    <w:rsid w:val="0026338C"/>
    <w:rsid w:val="00266CFA"/>
    <w:rsid w:val="00267669"/>
    <w:rsid w:val="002719FF"/>
    <w:rsid w:val="00271FF1"/>
    <w:rsid w:val="0027283D"/>
    <w:rsid w:val="00273D4E"/>
    <w:rsid w:val="00276597"/>
    <w:rsid w:val="0027765F"/>
    <w:rsid w:val="00284DA7"/>
    <w:rsid w:val="00294E3A"/>
    <w:rsid w:val="002A6B32"/>
    <w:rsid w:val="002C3694"/>
    <w:rsid w:val="002C484D"/>
    <w:rsid w:val="002D1E5D"/>
    <w:rsid w:val="002D55FF"/>
    <w:rsid w:val="002D6116"/>
    <w:rsid w:val="002F220D"/>
    <w:rsid w:val="002F3E3D"/>
    <w:rsid w:val="002F61FB"/>
    <w:rsid w:val="002F6774"/>
    <w:rsid w:val="00300F46"/>
    <w:rsid w:val="00303C56"/>
    <w:rsid w:val="003067BC"/>
    <w:rsid w:val="00306CBD"/>
    <w:rsid w:val="00314DAB"/>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675A"/>
    <w:rsid w:val="00360D50"/>
    <w:rsid w:val="0036786B"/>
    <w:rsid w:val="003714F9"/>
    <w:rsid w:val="0037441D"/>
    <w:rsid w:val="0038612A"/>
    <w:rsid w:val="0039207C"/>
    <w:rsid w:val="0039247B"/>
    <w:rsid w:val="00393019"/>
    <w:rsid w:val="00393771"/>
    <w:rsid w:val="003943D6"/>
    <w:rsid w:val="00394D9C"/>
    <w:rsid w:val="003B18FB"/>
    <w:rsid w:val="003B7968"/>
    <w:rsid w:val="003C2855"/>
    <w:rsid w:val="003C4CB7"/>
    <w:rsid w:val="003D201F"/>
    <w:rsid w:val="003D3407"/>
    <w:rsid w:val="003D7FEA"/>
    <w:rsid w:val="003E2BA7"/>
    <w:rsid w:val="003F446E"/>
    <w:rsid w:val="0040022F"/>
    <w:rsid w:val="004009F5"/>
    <w:rsid w:val="0041101E"/>
    <w:rsid w:val="004120F2"/>
    <w:rsid w:val="004137F3"/>
    <w:rsid w:val="0041439B"/>
    <w:rsid w:val="0041456D"/>
    <w:rsid w:val="00414FF4"/>
    <w:rsid w:val="00415602"/>
    <w:rsid w:val="00417A79"/>
    <w:rsid w:val="00417C25"/>
    <w:rsid w:val="0042030E"/>
    <w:rsid w:val="0042044F"/>
    <w:rsid w:val="00426F8F"/>
    <w:rsid w:val="00427FA8"/>
    <w:rsid w:val="00432E6F"/>
    <w:rsid w:val="00432E72"/>
    <w:rsid w:val="00440396"/>
    <w:rsid w:val="00440EF1"/>
    <w:rsid w:val="00442648"/>
    <w:rsid w:val="0044448A"/>
    <w:rsid w:val="00450C37"/>
    <w:rsid w:val="00451792"/>
    <w:rsid w:val="00451D36"/>
    <w:rsid w:val="0045338C"/>
    <w:rsid w:val="00454B03"/>
    <w:rsid w:val="00455054"/>
    <w:rsid w:val="00460D7E"/>
    <w:rsid w:val="0047598B"/>
    <w:rsid w:val="00481FCC"/>
    <w:rsid w:val="004853EF"/>
    <w:rsid w:val="00486911"/>
    <w:rsid w:val="00490E88"/>
    <w:rsid w:val="0049562B"/>
    <w:rsid w:val="004A0D56"/>
    <w:rsid w:val="004A0DE3"/>
    <w:rsid w:val="004A2F9B"/>
    <w:rsid w:val="004A7C9A"/>
    <w:rsid w:val="004B6EDE"/>
    <w:rsid w:val="004B756D"/>
    <w:rsid w:val="004C33B9"/>
    <w:rsid w:val="004C6EA5"/>
    <w:rsid w:val="004D5780"/>
    <w:rsid w:val="004E6EF8"/>
    <w:rsid w:val="004F27A1"/>
    <w:rsid w:val="004F4E90"/>
    <w:rsid w:val="004F544B"/>
    <w:rsid w:val="00502F78"/>
    <w:rsid w:val="005058A3"/>
    <w:rsid w:val="00511965"/>
    <w:rsid w:val="005174B7"/>
    <w:rsid w:val="005368C7"/>
    <w:rsid w:val="00540835"/>
    <w:rsid w:val="005438AE"/>
    <w:rsid w:val="00545C0A"/>
    <w:rsid w:val="0054726A"/>
    <w:rsid w:val="005541D4"/>
    <w:rsid w:val="005547E2"/>
    <w:rsid w:val="00556099"/>
    <w:rsid w:val="005564D4"/>
    <w:rsid w:val="00556514"/>
    <w:rsid w:val="005643A2"/>
    <w:rsid w:val="00566AA1"/>
    <w:rsid w:val="00571084"/>
    <w:rsid w:val="005718F3"/>
    <w:rsid w:val="00571CB0"/>
    <w:rsid w:val="00574D38"/>
    <w:rsid w:val="005756EF"/>
    <w:rsid w:val="0057623B"/>
    <w:rsid w:val="0057795C"/>
    <w:rsid w:val="005866EE"/>
    <w:rsid w:val="005908EB"/>
    <w:rsid w:val="00590EB4"/>
    <w:rsid w:val="00593FC3"/>
    <w:rsid w:val="005959ED"/>
    <w:rsid w:val="005A2B73"/>
    <w:rsid w:val="005A4A4A"/>
    <w:rsid w:val="005B043C"/>
    <w:rsid w:val="005B2C04"/>
    <w:rsid w:val="005B4DD9"/>
    <w:rsid w:val="005B5784"/>
    <w:rsid w:val="005C1399"/>
    <w:rsid w:val="005C2F13"/>
    <w:rsid w:val="005E777C"/>
    <w:rsid w:val="005F302E"/>
    <w:rsid w:val="005F54C8"/>
    <w:rsid w:val="005F6BB0"/>
    <w:rsid w:val="005F6F76"/>
    <w:rsid w:val="005F7930"/>
    <w:rsid w:val="0060158F"/>
    <w:rsid w:val="00601A32"/>
    <w:rsid w:val="00604050"/>
    <w:rsid w:val="006042E9"/>
    <w:rsid w:val="00606B5A"/>
    <w:rsid w:val="006074CE"/>
    <w:rsid w:val="00612619"/>
    <w:rsid w:val="006135DC"/>
    <w:rsid w:val="00613637"/>
    <w:rsid w:val="00613828"/>
    <w:rsid w:val="006228D2"/>
    <w:rsid w:val="00624DD4"/>
    <w:rsid w:val="006338D3"/>
    <w:rsid w:val="00642DDC"/>
    <w:rsid w:val="00643685"/>
    <w:rsid w:val="00650674"/>
    <w:rsid w:val="00651A01"/>
    <w:rsid w:val="00656913"/>
    <w:rsid w:val="006627CB"/>
    <w:rsid w:val="00667D1C"/>
    <w:rsid w:val="00671E79"/>
    <w:rsid w:val="006747E0"/>
    <w:rsid w:val="006763C4"/>
    <w:rsid w:val="00682E83"/>
    <w:rsid w:val="0069184F"/>
    <w:rsid w:val="00692769"/>
    <w:rsid w:val="0069306A"/>
    <w:rsid w:val="00695B63"/>
    <w:rsid w:val="006A208D"/>
    <w:rsid w:val="006B2ABE"/>
    <w:rsid w:val="006B3C52"/>
    <w:rsid w:val="006B7994"/>
    <w:rsid w:val="006B7DC3"/>
    <w:rsid w:val="006C6F94"/>
    <w:rsid w:val="006C7F82"/>
    <w:rsid w:val="006D0312"/>
    <w:rsid w:val="006D0C23"/>
    <w:rsid w:val="006D103A"/>
    <w:rsid w:val="006D13C6"/>
    <w:rsid w:val="006D32D6"/>
    <w:rsid w:val="006D4A46"/>
    <w:rsid w:val="006D65E4"/>
    <w:rsid w:val="006D6FCB"/>
    <w:rsid w:val="006E612B"/>
    <w:rsid w:val="006E63FE"/>
    <w:rsid w:val="006E6F11"/>
    <w:rsid w:val="006E7C8D"/>
    <w:rsid w:val="006F3ECF"/>
    <w:rsid w:val="006F62D8"/>
    <w:rsid w:val="00703916"/>
    <w:rsid w:val="0070615B"/>
    <w:rsid w:val="007079B2"/>
    <w:rsid w:val="00711167"/>
    <w:rsid w:val="0071123F"/>
    <w:rsid w:val="00712C37"/>
    <w:rsid w:val="007146CB"/>
    <w:rsid w:val="00715FA8"/>
    <w:rsid w:val="0072290A"/>
    <w:rsid w:val="00723B11"/>
    <w:rsid w:val="0072442D"/>
    <w:rsid w:val="00731B9B"/>
    <w:rsid w:val="00734418"/>
    <w:rsid w:val="0073477E"/>
    <w:rsid w:val="007348B4"/>
    <w:rsid w:val="007364B5"/>
    <w:rsid w:val="00736AEB"/>
    <w:rsid w:val="00744983"/>
    <w:rsid w:val="00744C88"/>
    <w:rsid w:val="00755803"/>
    <w:rsid w:val="00756D15"/>
    <w:rsid w:val="007575BA"/>
    <w:rsid w:val="007602FF"/>
    <w:rsid w:val="007626A0"/>
    <w:rsid w:val="00762F1E"/>
    <w:rsid w:val="00765EC9"/>
    <w:rsid w:val="00770320"/>
    <w:rsid w:val="00776049"/>
    <w:rsid w:val="007765C1"/>
    <w:rsid w:val="00776729"/>
    <w:rsid w:val="00776A38"/>
    <w:rsid w:val="00777AE2"/>
    <w:rsid w:val="007860B7"/>
    <w:rsid w:val="00790294"/>
    <w:rsid w:val="0079178C"/>
    <w:rsid w:val="007A25EB"/>
    <w:rsid w:val="007A2C2F"/>
    <w:rsid w:val="007A6DDA"/>
    <w:rsid w:val="007A7B99"/>
    <w:rsid w:val="007B24A1"/>
    <w:rsid w:val="007B4F3B"/>
    <w:rsid w:val="007B59D1"/>
    <w:rsid w:val="007C5AF7"/>
    <w:rsid w:val="007C5CF8"/>
    <w:rsid w:val="007C7D91"/>
    <w:rsid w:val="007D0ED1"/>
    <w:rsid w:val="007D23C6"/>
    <w:rsid w:val="007D278C"/>
    <w:rsid w:val="007D6999"/>
    <w:rsid w:val="007E0F98"/>
    <w:rsid w:val="007E442B"/>
    <w:rsid w:val="007E73CA"/>
    <w:rsid w:val="007F02D7"/>
    <w:rsid w:val="007F0579"/>
    <w:rsid w:val="007F3FAB"/>
    <w:rsid w:val="007F4133"/>
    <w:rsid w:val="007F448B"/>
    <w:rsid w:val="00807DF8"/>
    <w:rsid w:val="00815B34"/>
    <w:rsid w:val="008177C8"/>
    <w:rsid w:val="0082199C"/>
    <w:rsid w:val="0082255C"/>
    <w:rsid w:val="00831972"/>
    <w:rsid w:val="00834C83"/>
    <w:rsid w:val="008428F1"/>
    <w:rsid w:val="00842EFC"/>
    <w:rsid w:val="00844506"/>
    <w:rsid w:val="008459D0"/>
    <w:rsid w:val="00851E04"/>
    <w:rsid w:val="00853BCA"/>
    <w:rsid w:val="008558C7"/>
    <w:rsid w:val="0085607E"/>
    <w:rsid w:val="00862591"/>
    <w:rsid w:val="00872B6C"/>
    <w:rsid w:val="00873065"/>
    <w:rsid w:val="00876030"/>
    <w:rsid w:val="008808CB"/>
    <w:rsid w:val="00882A19"/>
    <w:rsid w:val="00882C01"/>
    <w:rsid w:val="008831DC"/>
    <w:rsid w:val="0088339D"/>
    <w:rsid w:val="008860D8"/>
    <w:rsid w:val="00891280"/>
    <w:rsid w:val="00892429"/>
    <w:rsid w:val="008949C6"/>
    <w:rsid w:val="00895ADF"/>
    <w:rsid w:val="008A3A0C"/>
    <w:rsid w:val="008A487B"/>
    <w:rsid w:val="008A7020"/>
    <w:rsid w:val="008B2D42"/>
    <w:rsid w:val="008B2E33"/>
    <w:rsid w:val="008B4251"/>
    <w:rsid w:val="008B49E6"/>
    <w:rsid w:val="008B6C2A"/>
    <w:rsid w:val="008C0B52"/>
    <w:rsid w:val="008C1FFB"/>
    <w:rsid w:val="008C5C2E"/>
    <w:rsid w:val="008E4EBC"/>
    <w:rsid w:val="008E61CE"/>
    <w:rsid w:val="008F0F7E"/>
    <w:rsid w:val="008F1B90"/>
    <w:rsid w:val="00902F97"/>
    <w:rsid w:val="00904884"/>
    <w:rsid w:val="00910F27"/>
    <w:rsid w:val="00914313"/>
    <w:rsid w:val="00915016"/>
    <w:rsid w:val="009275A0"/>
    <w:rsid w:val="0093016C"/>
    <w:rsid w:val="00930953"/>
    <w:rsid w:val="00933167"/>
    <w:rsid w:val="00934CB5"/>
    <w:rsid w:val="009409F9"/>
    <w:rsid w:val="00941997"/>
    <w:rsid w:val="00941EA9"/>
    <w:rsid w:val="00942124"/>
    <w:rsid w:val="00943B14"/>
    <w:rsid w:val="00952A6C"/>
    <w:rsid w:val="0095451F"/>
    <w:rsid w:val="00954DB6"/>
    <w:rsid w:val="00956B86"/>
    <w:rsid w:val="00960256"/>
    <w:rsid w:val="00963220"/>
    <w:rsid w:val="00965319"/>
    <w:rsid w:val="00970AC7"/>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B5F04"/>
    <w:rsid w:val="009C03D1"/>
    <w:rsid w:val="009C61DF"/>
    <w:rsid w:val="009C6A85"/>
    <w:rsid w:val="009C7DFE"/>
    <w:rsid w:val="009D1018"/>
    <w:rsid w:val="009E3A8E"/>
    <w:rsid w:val="009E3D18"/>
    <w:rsid w:val="009E535C"/>
    <w:rsid w:val="009F501D"/>
    <w:rsid w:val="00A000A5"/>
    <w:rsid w:val="00A030F0"/>
    <w:rsid w:val="00A051E1"/>
    <w:rsid w:val="00A054A4"/>
    <w:rsid w:val="00A05649"/>
    <w:rsid w:val="00A06395"/>
    <w:rsid w:val="00A12A0F"/>
    <w:rsid w:val="00A1398D"/>
    <w:rsid w:val="00A13BE0"/>
    <w:rsid w:val="00A210FC"/>
    <w:rsid w:val="00A303BB"/>
    <w:rsid w:val="00A32AD2"/>
    <w:rsid w:val="00A371CF"/>
    <w:rsid w:val="00A41D87"/>
    <w:rsid w:val="00A44B7C"/>
    <w:rsid w:val="00A477E5"/>
    <w:rsid w:val="00A54AD4"/>
    <w:rsid w:val="00A557FF"/>
    <w:rsid w:val="00A61053"/>
    <w:rsid w:val="00A61861"/>
    <w:rsid w:val="00A61C0E"/>
    <w:rsid w:val="00A70995"/>
    <w:rsid w:val="00A71723"/>
    <w:rsid w:val="00A727DE"/>
    <w:rsid w:val="00A734E5"/>
    <w:rsid w:val="00A8259B"/>
    <w:rsid w:val="00A9069B"/>
    <w:rsid w:val="00A908A0"/>
    <w:rsid w:val="00AA3097"/>
    <w:rsid w:val="00AB15A7"/>
    <w:rsid w:val="00AB4132"/>
    <w:rsid w:val="00AB6346"/>
    <w:rsid w:val="00AB7EE9"/>
    <w:rsid w:val="00AC4E0E"/>
    <w:rsid w:val="00AD1B05"/>
    <w:rsid w:val="00AD4C39"/>
    <w:rsid w:val="00AD78AF"/>
    <w:rsid w:val="00AE1000"/>
    <w:rsid w:val="00AE161A"/>
    <w:rsid w:val="00AE68FB"/>
    <w:rsid w:val="00AE6C71"/>
    <w:rsid w:val="00AF2C0A"/>
    <w:rsid w:val="00B05B38"/>
    <w:rsid w:val="00B06014"/>
    <w:rsid w:val="00B1119D"/>
    <w:rsid w:val="00B123C7"/>
    <w:rsid w:val="00B13E27"/>
    <w:rsid w:val="00B144D2"/>
    <w:rsid w:val="00B16CBB"/>
    <w:rsid w:val="00B224B3"/>
    <w:rsid w:val="00B26522"/>
    <w:rsid w:val="00B336BF"/>
    <w:rsid w:val="00B35EFF"/>
    <w:rsid w:val="00B42EF7"/>
    <w:rsid w:val="00B5677F"/>
    <w:rsid w:val="00B601B1"/>
    <w:rsid w:val="00B63A6E"/>
    <w:rsid w:val="00B63F5C"/>
    <w:rsid w:val="00B67CC8"/>
    <w:rsid w:val="00B705B2"/>
    <w:rsid w:val="00B71CDD"/>
    <w:rsid w:val="00B743B4"/>
    <w:rsid w:val="00B77603"/>
    <w:rsid w:val="00B84568"/>
    <w:rsid w:val="00B936B9"/>
    <w:rsid w:val="00B943DE"/>
    <w:rsid w:val="00B958DC"/>
    <w:rsid w:val="00BA404F"/>
    <w:rsid w:val="00BA6303"/>
    <w:rsid w:val="00BB2020"/>
    <w:rsid w:val="00BC01AF"/>
    <w:rsid w:val="00BC2F12"/>
    <w:rsid w:val="00BC2FAB"/>
    <w:rsid w:val="00BD044C"/>
    <w:rsid w:val="00BD415B"/>
    <w:rsid w:val="00BF2E7F"/>
    <w:rsid w:val="00BF3041"/>
    <w:rsid w:val="00BF4719"/>
    <w:rsid w:val="00C014F1"/>
    <w:rsid w:val="00C060B1"/>
    <w:rsid w:val="00C106E4"/>
    <w:rsid w:val="00C179AF"/>
    <w:rsid w:val="00C208FC"/>
    <w:rsid w:val="00C24E09"/>
    <w:rsid w:val="00C25BEB"/>
    <w:rsid w:val="00C3035A"/>
    <w:rsid w:val="00C3105D"/>
    <w:rsid w:val="00C31D2F"/>
    <w:rsid w:val="00C3611D"/>
    <w:rsid w:val="00C40DA3"/>
    <w:rsid w:val="00C4281C"/>
    <w:rsid w:val="00C46989"/>
    <w:rsid w:val="00C53B0F"/>
    <w:rsid w:val="00C53B3B"/>
    <w:rsid w:val="00C53E8E"/>
    <w:rsid w:val="00C55252"/>
    <w:rsid w:val="00C6050B"/>
    <w:rsid w:val="00C609D5"/>
    <w:rsid w:val="00C63946"/>
    <w:rsid w:val="00C64B94"/>
    <w:rsid w:val="00C6597B"/>
    <w:rsid w:val="00C7530C"/>
    <w:rsid w:val="00C7632C"/>
    <w:rsid w:val="00C772FE"/>
    <w:rsid w:val="00C81B43"/>
    <w:rsid w:val="00C823A3"/>
    <w:rsid w:val="00C82999"/>
    <w:rsid w:val="00C83DDA"/>
    <w:rsid w:val="00C85891"/>
    <w:rsid w:val="00C85B24"/>
    <w:rsid w:val="00C87F49"/>
    <w:rsid w:val="00C9009E"/>
    <w:rsid w:val="00C909C8"/>
    <w:rsid w:val="00C929CA"/>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E4B63"/>
    <w:rsid w:val="00CE4CEC"/>
    <w:rsid w:val="00CE61A6"/>
    <w:rsid w:val="00CE63BB"/>
    <w:rsid w:val="00CE66CB"/>
    <w:rsid w:val="00CF2016"/>
    <w:rsid w:val="00D0091C"/>
    <w:rsid w:val="00D00941"/>
    <w:rsid w:val="00D038A0"/>
    <w:rsid w:val="00D0652B"/>
    <w:rsid w:val="00D1202C"/>
    <w:rsid w:val="00D223F3"/>
    <w:rsid w:val="00D22570"/>
    <w:rsid w:val="00D23004"/>
    <w:rsid w:val="00D235C8"/>
    <w:rsid w:val="00D271E5"/>
    <w:rsid w:val="00D30280"/>
    <w:rsid w:val="00D30F41"/>
    <w:rsid w:val="00D314A6"/>
    <w:rsid w:val="00D3501A"/>
    <w:rsid w:val="00D35C07"/>
    <w:rsid w:val="00D372A5"/>
    <w:rsid w:val="00D37EC7"/>
    <w:rsid w:val="00D426E3"/>
    <w:rsid w:val="00D42AD5"/>
    <w:rsid w:val="00D42DB7"/>
    <w:rsid w:val="00D506FC"/>
    <w:rsid w:val="00D50A40"/>
    <w:rsid w:val="00D5398A"/>
    <w:rsid w:val="00D55837"/>
    <w:rsid w:val="00D640FC"/>
    <w:rsid w:val="00D703FE"/>
    <w:rsid w:val="00D762A7"/>
    <w:rsid w:val="00D77CBD"/>
    <w:rsid w:val="00D90CEF"/>
    <w:rsid w:val="00D91E0F"/>
    <w:rsid w:val="00D92601"/>
    <w:rsid w:val="00DA47D4"/>
    <w:rsid w:val="00DA61BD"/>
    <w:rsid w:val="00DA6612"/>
    <w:rsid w:val="00DA69EE"/>
    <w:rsid w:val="00DB227A"/>
    <w:rsid w:val="00DC3A43"/>
    <w:rsid w:val="00DC4CBE"/>
    <w:rsid w:val="00DD0FE2"/>
    <w:rsid w:val="00DD37E5"/>
    <w:rsid w:val="00DD3C96"/>
    <w:rsid w:val="00DD3DF3"/>
    <w:rsid w:val="00DD40B8"/>
    <w:rsid w:val="00DD5B3E"/>
    <w:rsid w:val="00DD6A00"/>
    <w:rsid w:val="00DD70B7"/>
    <w:rsid w:val="00DE2416"/>
    <w:rsid w:val="00DE2650"/>
    <w:rsid w:val="00DE6C37"/>
    <w:rsid w:val="00DF0A2C"/>
    <w:rsid w:val="00DF10A7"/>
    <w:rsid w:val="00DF1C42"/>
    <w:rsid w:val="00DF7246"/>
    <w:rsid w:val="00DF7395"/>
    <w:rsid w:val="00DF7920"/>
    <w:rsid w:val="00E01970"/>
    <w:rsid w:val="00E03D41"/>
    <w:rsid w:val="00E13369"/>
    <w:rsid w:val="00E17766"/>
    <w:rsid w:val="00E27F56"/>
    <w:rsid w:val="00E3083D"/>
    <w:rsid w:val="00E31285"/>
    <w:rsid w:val="00E33168"/>
    <w:rsid w:val="00E3545A"/>
    <w:rsid w:val="00E35CB9"/>
    <w:rsid w:val="00E40968"/>
    <w:rsid w:val="00E41B85"/>
    <w:rsid w:val="00E42057"/>
    <w:rsid w:val="00E453A8"/>
    <w:rsid w:val="00E45D9D"/>
    <w:rsid w:val="00E5716A"/>
    <w:rsid w:val="00E630C8"/>
    <w:rsid w:val="00E65C4F"/>
    <w:rsid w:val="00E67C76"/>
    <w:rsid w:val="00E70D3D"/>
    <w:rsid w:val="00E713A4"/>
    <w:rsid w:val="00E71403"/>
    <w:rsid w:val="00E72259"/>
    <w:rsid w:val="00E72FF2"/>
    <w:rsid w:val="00E7313C"/>
    <w:rsid w:val="00E761E9"/>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4F1C"/>
    <w:rsid w:val="00EA7253"/>
    <w:rsid w:val="00EB7F61"/>
    <w:rsid w:val="00ED1847"/>
    <w:rsid w:val="00ED3F42"/>
    <w:rsid w:val="00EE0433"/>
    <w:rsid w:val="00EE1BF4"/>
    <w:rsid w:val="00EE5DDD"/>
    <w:rsid w:val="00F03675"/>
    <w:rsid w:val="00F109C0"/>
    <w:rsid w:val="00F14787"/>
    <w:rsid w:val="00F16D31"/>
    <w:rsid w:val="00F17686"/>
    <w:rsid w:val="00F256C5"/>
    <w:rsid w:val="00F26CB6"/>
    <w:rsid w:val="00F3337D"/>
    <w:rsid w:val="00F34D07"/>
    <w:rsid w:val="00F34E4C"/>
    <w:rsid w:val="00F36549"/>
    <w:rsid w:val="00F371B5"/>
    <w:rsid w:val="00F41705"/>
    <w:rsid w:val="00F515CE"/>
    <w:rsid w:val="00F52542"/>
    <w:rsid w:val="00F538CB"/>
    <w:rsid w:val="00F55D80"/>
    <w:rsid w:val="00F5688B"/>
    <w:rsid w:val="00F60734"/>
    <w:rsid w:val="00F73EC9"/>
    <w:rsid w:val="00F75580"/>
    <w:rsid w:val="00F76F0B"/>
    <w:rsid w:val="00F803D6"/>
    <w:rsid w:val="00F8189C"/>
    <w:rsid w:val="00F9203D"/>
    <w:rsid w:val="00F92A3D"/>
    <w:rsid w:val="00F9355B"/>
    <w:rsid w:val="00F94C19"/>
    <w:rsid w:val="00F96561"/>
    <w:rsid w:val="00F970D1"/>
    <w:rsid w:val="00FA01B6"/>
    <w:rsid w:val="00FA4279"/>
    <w:rsid w:val="00FB0DE5"/>
    <w:rsid w:val="00FB4C55"/>
    <w:rsid w:val="00FB6619"/>
    <w:rsid w:val="00FC169E"/>
    <w:rsid w:val="00FC6C2C"/>
    <w:rsid w:val="00FC7246"/>
    <w:rsid w:val="00FD354C"/>
    <w:rsid w:val="00FD3CDA"/>
    <w:rsid w:val="00FD46F6"/>
    <w:rsid w:val="00FE1762"/>
    <w:rsid w:val="00FE3BEB"/>
    <w:rsid w:val="00FF1023"/>
    <w:rsid w:val="00FF4956"/>
    <w:rsid w:val="00FF5702"/>
    <w:rsid w:val="01D566D2"/>
    <w:rsid w:val="069E07AC"/>
    <w:rsid w:val="08CA4C78"/>
    <w:rsid w:val="0CB62C5C"/>
    <w:rsid w:val="1290413F"/>
    <w:rsid w:val="13AF1839"/>
    <w:rsid w:val="14A007B4"/>
    <w:rsid w:val="15EB3885"/>
    <w:rsid w:val="16300DDB"/>
    <w:rsid w:val="1A8B2833"/>
    <w:rsid w:val="1B4729A9"/>
    <w:rsid w:val="1B515FA0"/>
    <w:rsid w:val="1B5E7455"/>
    <w:rsid w:val="1D9A7BA2"/>
    <w:rsid w:val="1E0B2E42"/>
    <w:rsid w:val="24C5715F"/>
    <w:rsid w:val="2CD30B30"/>
    <w:rsid w:val="2D4C1BD5"/>
    <w:rsid w:val="2E586260"/>
    <w:rsid w:val="2EA536BE"/>
    <w:rsid w:val="2EFD008C"/>
    <w:rsid w:val="2F4A28EA"/>
    <w:rsid w:val="3295171E"/>
    <w:rsid w:val="35436994"/>
    <w:rsid w:val="37042298"/>
    <w:rsid w:val="370C0ADF"/>
    <w:rsid w:val="3E091DE7"/>
    <w:rsid w:val="41EC670C"/>
    <w:rsid w:val="424F7D8F"/>
    <w:rsid w:val="42964A43"/>
    <w:rsid w:val="42B07218"/>
    <w:rsid w:val="42DF0A26"/>
    <w:rsid w:val="43476085"/>
    <w:rsid w:val="45257F6C"/>
    <w:rsid w:val="46085DC1"/>
    <w:rsid w:val="4C22487C"/>
    <w:rsid w:val="4CAC1F43"/>
    <w:rsid w:val="4CAE676A"/>
    <w:rsid w:val="4F9A09BD"/>
    <w:rsid w:val="4FD63820"/>
    <w:rsid w:val="51CB3718"/>
    <w:rsid w:val="536E7B8C"/>
    <w:rsid w:val="550704D3"/>
    <w:rsid w:val="62AA171A"/>
    <w:rsid w:val="641D0C51"/>
    <w:rsid w:val="693D29CD"/>
    <w:rsid w:val="6F0E6756"/>
    <w:rsid w:val="70A16213"/>
    <w:rsid w:val="735E534E"/>
    <w:rsid w:val="73DA6ECA"/>
    <w:rsid w:val="756141E1"/>
    <w:rsid w:val="77B447F0"/>
    <w:rsid w:val="77C16711"/>
    <w:rsid w:val="790D7A83"/>
    <w:rsid w:val="7A891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5"/>
    <w:qFormat/>
    <w:uiPriority w:val="99"/>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0"/>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pPr>
      <w:tabs>
        <w:tab w:val="right" w:leader="dot" w:pos="8296"/>
      </w:tabs>
      <w:spacing w:line="720" w:lineRule="auto"/>
    </w:pPr>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0"/>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qFormat/>
    <w:uiPriority w:val="99"/>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61">
    <w:name w:val="修订2"/>
    <w:hidden/>
    <w:semiHidden/>
    <w:unhideWhenUsed/>
    <w:qFormat/>
    <w:uiPriority w:val="99"/>
    <w:rPr>
      <w:rFonts w:ascii="Times New Roman" w:hAnsi="Times New Roman" w:eastAsia="宋体" w:cs="Times New Roman"/>
      <w:kern w:val="2"/>
      <w:sz w:val="21"/>
      <w:lang w:val="en-US" w:eastAsia="zh-CN" w:bidi="ar-SA"/>
    </w:rPr>
  </w:style>
  <w:style w:type="paragraph" w:customStyle="1" w:styleId="62">
    <w:name w:val="成文日期"/>
    <w:basedOn w:val="1"/>
    <w:link w:val="63"/>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63">
    <w:name w:val="成文日期 Char"/>
    <w:link w:val="62"/>
    <w:qFormat/>
    <w:uiPriority w:val="0"/>
    <w:rPr>
      <w:rFonts w:ascii="仿宋_GB2312" w:hAnsi="Times New Roman" w:eastAsia="仿宋_GB2312" w:cs="Times New Roman"/>
      <w:kern w:val="2"/>
      <w:sz w:val="32"/>
      <w:lang w:val="zh-CN" w:eastAsia="zh-CN"/>
    </w:rPr>
  </w:style>
  <w:style w:type="paragraph" w:customStyle="1" w:styleId="64">
    <w:name w:val="材料标题"/>
    <w:basedOn w:val="1"/>
    <w:link w:val="65"/>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65">
    <w:name w:val="材料标题 Char"/>
    <w:link w:val="64"/>
    <w:qFormat/>
    <w:uiPriority w:val="0"/>
    <w:rPr>
      <w:rFonts w:ascii="方正小标宋简体" w:hAnsi="Times New Roman" w:eastAsia="方正小标宋简体" w:cs="Times New Roman"/>
      <w:color w:val="000000"/>
      <w:kern w:val="2"/>
      <w:sz w:val="44"/>
      <w:szCs w:val="44"/>
    </w:rPr>
  </w:style>
  <w:style w:type="paragraph" w:customStyle="1" w:styleId="66">
    <w:name w:val="Table Paragraph"/>
    <w:basedOn w:val="1"/>
    <w:unhideWhenUsed/>
    <w:qFormat/>
    <w:uiPriority w:val="1"/>
    <w:rPr>
      <w:rFonts w:hint="eastAsia"/>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AC061-6634-480B-A398-DB8ED19201A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171</Words>
  <Characters>194</Characters>
  <Lines>148</Lines>
  <Paragraphs>41</Paragraphs>
  <TotalTime>12</TotalTime>
  <ScaleCrop>false</ScaleCrop>
  <LinksUpToDate>false</LinksUpToDate>
  <CharactersWithSpaces>238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糖果</cp:lastModifiedBy>
  <cp:lastPrinted>2017-10-08T03:39:00Z</cp:lastPrinted>
  <dcterms:modified xsi:type="dcterms:W3CDTF">2026-01-28T03:19:40Z</dcterms:modified>
  <cp:revision>478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0F0C2871A0CB48EA86799927A7D459B8_13</vt:lpwstr>
  </property>
  <property fmtid="{D5CDD505-2E9C-101B-9397-08002B2CF9AE}" pid="4" name="KSOTemplateDocerSaveRecord">
    <vt:lpwstr>eyJoZGlkIjoiMWJlZmE2NGIwM2NkM2MxMzZkMjRkOTE1YzhiMGNkNTciLCJ1c2VySWQiOiI1MTYwNjAyNTIifQ==</vt:lpwstr>
  </property>
</Properties>
</file>